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535-1_4seq1.xml.htm"/>
      <w:bookmarkStart w:id="1" w:name="kstm262753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Huan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8707 RESEARCH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CHEETAH NET SUPPLY CHAIN SERVICE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61"/>
        <w:gridCol w:w="931"/>
        <w:gridCol w:w="803"/>
        <w:gridCol w:w="618"/>
        <w:gridCol w:w="326"/>
        <w:gridCol w:w="1043"/>
        <w:gridCol w:w="372"/>
        <w:gridCol w:w="543"/>
        <w:gridCol w:w="1039"/>
        <w:gridCol w:w="911"/>
        <w:gridCol w:w="215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46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0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2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4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0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</w:t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101,340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6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FAIRVIEW EASTERN INTERNATIONAL HOLDINGS LIMITED, which is 100% owned by Huan Liu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9, 2026, the issuer closed a private placement transaction with the Reporting Person, pursuant to which the Reporting Person purchased 100,000 shares of the issuer's Class B common stock, par value $0.0001 per share, at a purchase price of $3.30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Interim Chief Financial Officer, Director, and Chairman of the Board of Directors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Huan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1920" TargetMode="External"/><Relationship Id="rId5" Type="http://schemas.openxmlformats.org/officeDocument/2006/relationships/hyperlink" Target="http://www.sec.gov/cgi-bin/browse-edgar?action=getcompany&amp;CIK=000195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3468</Characters>
  <CharactersWithSpaces>4039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