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9318d1_8k.htm"/>
      <w:bookmarkStart w:id="1" w:name="kstm261931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62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June 26,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C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D_edei--EntityFileNumber_c20260626"/>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8707 Research Drive,</w:t>
              <w:br/>
            </w:r>
            <w:bookmarkStart w:id="9" w:name="xdx_904_edei--EntityAddressCityOrTown_c2"/>
            <w:bookmarkEnd w:id="9"/>
            <w:r>
              <w:rPr>
                <w:rFonts w:ascii="Times New Roman;Times;Serif" w:hAnsi="Times New Roman;Times;Serif"/>
                <w:b/>
                <w:i w:val="false"/>
                <w:caps w:val="false"/>
                <w:smallCaps w:val="false"/>
                <w:sz w:val="20"/>
              </w:rPr>
              <w:t xml:space="preserve">Irvine, </w:t>
            </w:r>
            <w:bookmarkStart w:id="10" w:name="xdx_902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8_edei--EntityAddressPostalZipCode"/>
            <w:bookmarkEnd w:id="11"/>
            <w:r>
              <w:rPr>
                <w:b/>
                <w:sz w:val="20"/>
              </w:rPr>
              <w:t>92618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2_edei--CityAreaCode_c20260626__20"/>
      <w:bookmarkEnd w:id="12"/>
      <w:r>
        <w:rPr>
          <w:rFonts w:ascii="Times New Roman;Times;Serif" w:hAnsi="Times New Roman;Times;Serif"/>
          <w:b w:val="false"/>
          <w:i w:val="false"/>
          <w:caps w:val="false"/>
          <w:smallCaps w:val="false"/>
          <w:sz w:val="20"/>
        </w:rPr>
        <w:t xml:space="preserve">949) </w:t>
      </w:r>
      <w:bookmarkStart w:id="13" w:name="xdx_905_edei--LocalPhoneNumber_c20260626"/>
      <w:bookmarkEnd w:id="13"/>
      <w:r>
        <w:rPr>
          <w:rFonts w:ascii="Times New Roman;Times;Serif" w:hAnsi="Times New Roman;Times;Serif"/>
          <w:b w:val="false"/>
          <w:i w:val="false"/>
          <w:caps w:val="false"/>
          <w:smallCaps w:val="false"/>
          <w:sz w:val="20"/>
        </w:rPr>
        <w:t>740-7799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F_edei--SolicitingMaterial_c202606"/>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C_edei--Security12bTitle_c20260626"/>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A_edei--TradingSymbol_c20260626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6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 Current Report on Form 8-K dated April 2, 2026, Cheetah Net Supply Chain Service Inc., a Delaware corporation (the “Company”), and AC Sunshine Securities LLC (the “Sales Agent”) entered into that certain sales agreement, dated March 31, 2026, by and between the Company and the Sales Agent (the “Sales Agreement”), pursuant to which the Company may offer and sell, from time to time, shares of the Company’s Class A common stock, par value $0.0001 per share, through the Sales Agent in an “at-the-market”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the Sales Agent entered into a Mutual Termination Agreement, pursuant to which the parties mutually agreed to terminate the Sales Agreement, effective as of the close of business on June 26, 2026. The Sales Agreement related to the offer and sale from time to time of shares of the Company’s Class A common stock, par value $0.0001 per share, pursuant to the Company’s registration statement on Form S-3, File No. 333-281820, including the prospectus supplement relating to the offering of shares of Class A common stock pursuant to the Sales Agreement. On April 29, 2026, the Company effected a 1-for-200 reverse stock split of its issued and outstanding shares of common stock. Prior to the effectiveness of the reverse stock split, the Company sold an aggregate of 355,000,000 shares of Class A common stock pursuant to the Sales Agreement, representing 1,775,000 shares of Class A common stock as adjusted to give effect to the reverse stock split. From April 29, 2026 through June 18, 2026, following the effectiveness of the reverse stock split, the Company sold an aggregate of 1,000,000 shares of Class A common stock pursuant to the Sales Agreement. Accordingly, prior to the termination of the Sales Agreement, the Company sold an aggregate of 2,775,000 shares of Class A common stock pursuant to the Sales Agreement, after giving effect to the reverse stock split.</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termination date, no placement notice under the Sales Agreement remained in effect. The Sales Agent acknowledged that, as of the termination date, no amounts, fees or expenses were due to the Sales Agent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Mutual Termination Agreement is not complete and is qualified in its entirety by reference to the full text of the Mutual Termination Agreement, a copy of which is filed as Exhibit 10.1 to this Current Report on Form 8-K and is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tm2619318d1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19318d1_ex10-1.htm">
              <w:r>
                <w:rPr>
                  <w:rStyle w:val="InternetLink"/>
                  <w:rFonts w:ascii="Times New Roman;Times;Serif" w:hAnsi="Times New Roman;Times;Serif"/>
                  <w:sz w:val="20"/>
                </w:rPr>
                <w:t>Mutual Termination Agreement, dated June 26, 2026, by and between Cheetah Net Supply Chain Service Inc. and AC Sunshine Securities LLC.</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29, 2026</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320"/>
        <w:gridCol w:w="8555"/>
      </w:tblGrid>
      <w:tr>
        <w:trPr/>
        <w:tc>
          <w:tcPr>
            <w:tcW w:w="75" w:type="dxa"/>
            <w:tcBorders/>
            <w:vAlign w:val="center"/>
          </w:tcPr>
          <w:p>
            <w:pPr>
              <w:pStyle w:val="TableContents"/>
              <w:bidi w:val="0"/>
              <w:spacing w:before="0" w:after="283"/>
              <w:jc w:val="left"/>
              <w:rPr/>
            </w:pPr>
            <w:r>
              <w:rPr/>
              <w:t> </w:t>
            </w:r>
          </w:p>
        </w:tc>
        <w:tc>
          <w:tcPr>
            <w:tcW w:w="88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Interim Chief Financial Officer, Director,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19318d1_ex10-1.htm"/>
      <w:bookmarkStart w:id="24" w:name="kstm2619318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MUTUAL TERMINATION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sales agreement, dated as of March 31, 2026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by and between Cheetah Net Supply Chain Service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AC Sunshine Securities LLC (the “</w:t>
      </w:r>
      <w:r>
        <w:rPr>
          <w:rFonts w:ascii="Times New Roman;Times;Serif" w:hAnsi="Times New Roman;Times;Serif"/>
          <w:b/>
          <w:i w:val="false"/>
          <w:caps w:val="false"/>
          <w:smallCaps w:val="false"/>
          <w:sz w:val="20"/>
        </w:rPr>
        <w:t>Sales Agent</w:t>
      </w:r>
      <w:r>
        <w:rPr>
          <w:rFonts w:ascii="Times New Roman;Times;Serif" w:hAnsi="Times New Roman;Times;Serif"/>
          <w:b w:val="false"/>
          <w:i w:val="false"/>
          <w:caps w:val="false"/>
          <w:smallCaps w:val="false"/>
          <w:sz w:val="20"/>
        </w:rPr>
        <w:t>”), relating to the offer and sale from time to time of shares of the Company’s Class A common stock, par value $0.0001 per share, pursuant to the Company’s registration statement on Form S-3, File No. 333-281820, including the prospectus supplement relating to the offering of shares of Class A common stock pursuant to the Sales Agreement. Capitalized terms used but not otherwise defined herein shall have the meanings ascribed to such terms in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11(e) of the Sales Agreement and by mutual agreement of the parties, the Company and the Sales Agent hereby agree that the Sales Agreement shall be terminated in its entirety, effective as of the close of business on June 26, 2026 (the “</w:t>
      </w:r>
      <w:r>
        <w:rPr>
          <w:rFonts w:ascii="Times New Roman;Times;Serif" w:hAnsi="Times New Roman;Times;Serif"/>
          <w:b/>
          <w:i w:val="false"/>
          <w:caps w:val="false"/>
          <w:smallCaps w:val="false"/>
          <w:sz w:val="20"/>
        </w:rPr>
        <w:t>Termination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that, as of the Termination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6"/>
        <w:gridCol w:w="9925"/>
      </w:tblGrid>
      <w:tr>
        <w:trPr/>
        <w:tc>
          <w:tcPr>
            <w:tcW w:w="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left"/>
              <w:rPr/>
            </w:pPr>
            <w:r>
              <w:rPr/>
              <w:t>No Placement Notice (or equivalent notice under the Sales Agreement) remains in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left"/>
              <w:rPr/>
            </w:pPr>
            <w:r>
              <w:rPr/>
              <w:t>No sale of Placement Shares has been executed by the Sales Agent that remains unsettled, other than the transactions identified on Schedule A attached hereto,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acknowledges that as of the date hereof, no amounts, fees or expenses are due to the Sales Agent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283"/>
              <w:jc w:val="both"/>
              <w:rPr/>
            </w:pPr>
            <w:r>
              <w:rPr/>
              <w:t>The termination of the Sales Agreement shall not affect the rights or obligations of the parties with respect to any sales of Placement Shares effected prior to the Termination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2.</w:t>
            </w:r>
          </w:p>
        </w:tc>
        <w:tc>
          <w:tcPr>
            <w:tcW w:w="9998" w:type="dxa"/>
            <w:tcBorders/>
            <w:vAlign w:val="center"/>
          </w:tcPr>
          <w:p>
            <w:pPr>
              <w:pStyle w:val="TableContents"/>
              <w:bidi w:val="0"/>
              <w:spacing w:before="0" w:after="283"/>
              <w:jc w:val="both"/>
              <w:rPr/>
            </w:pPr>
            <w:r>
              <w:rPr/>
              <w:t>Section 7(g), Section 9, Section 10, Section 11(f), Section 16 and Section 17 of the Sales Agreement shall remain in full force and effect in accordance with Section 11(e) of the Sales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3.</w:t>
            </w:r>
          </w:p>
        </w:tc>
        <w:tc>
          <w:tcPr>
            <w:tcW w:w="10003" w:type="dxa"/>
            <w:tcBorders/>
            <w:vAlign w:val="center"/>
          </w:tcPr>
          <w:p>
            <w:pPr>
              <w:pStyle w:val="TableContents"/>
              <w:bidi w:val="0"/>
              <w:spacing w:before="0" w:after="283"/>
              <w:jc w:val="both"/>
              <w:rPr/>
            </w:pPr>
            <w:r>
              <w:rPr/>
              <w:t>Following the Termination Time, the Sales Agent shall have no obligation to offer or sell Placement Shares pursuant to the Sales Agreement, and the Company shall have no right to deliver any additional Placement Notices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obligations expressly surviving pursuant to the terms of the Sales Agreement, each party hereby releases and discharges the other party from any further obligations under the Sales Agreement arising after the Termination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internal laws of the State of New York, without regard to the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your agreement to the foregoing by signing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25"/>
        <w:gridCol w:w="6635"/>
        <w:gridCol w:w="75"/>
      </w:tblGrid>
      <w:tr>
        <w:trPr/>
        <w:tc>
          <w:tcPr>
            <w:tcW w:w="7360" w:type="dxa"/>
            <w:gridSpan w:val="2"/>
            <w:tcBorders/>
            <w:vAlign w:val="center"/>
          </w:tcPr>
          <w:p>
            <w:pPr>
              <w:pStyle w:val="TableContents"/>
              <w:bidi w:val="0"/>
              <w:spacing w:before="0" w:after="283"/>
              <w:jc w:val="left"/>
              <w:rPr>
                <w:b/>
              </w:rPr>
            </w:pPr>
            <w:r>
              <w:rPr>
                <w:b/>
              </w:rPr>
              <w:t>CHEETAH NET SUPPLY CHAIN SERVICE INC.</w:t>
            </w:r>
          </w:p>
        </w:tc>
        <w:tc>
          <w:tcPr>
            <w:tcW w:w="75" w:type="dxa"/>
            <w:tcBorders/>
            <w:vAlign w:val="center"/>
          </w:tcPr>
          <w:p>
            <w:pPr>
              <w:pStyle w:val="TableContents"/>
              <w:bidi w:val="0"/>
              <w:spacing w:before="0" w:after="283"/>
              <w:jc w:val="both"/>
              <w:rPr/>
            </w:pPr>
            <w:r>
              <w:rPr/>
              <w:t> </w:t>
            </w:r>
          </w:p>
        </w:tc>
      </w:tr>
      <w:tr>
        <w:trPr/>
        <w:tc>
          <w:tcPr>
            <w:tcW w:w="7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 xml:space="preserve">By: </w:t>
            </w:r>
          </w:p>
        </w:tc>
        <w:tc>
          <w:tcPr>
            <w:tcW w:w="6635" w:type="dxa"/>
            <w:tcBorders/>
            <w:vAlign w:val="center"/>
          </w:tcPr>
          <w:p>
            <w:pPr>
              <w:pStyle w:val="TableContents"/>
              <w:bidi w:val="0"/>
              <w:spacing w:before="0" w:after="283"/>
              <w:jc w:val="left"/>
              <w:rPr/>
            </w:pPr>
            <w:r>
              <w:rPr/>
              <w:t>/s/ Huan Liu</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 xml:space="preserve">Name: </w:t>
            </w:r>
          </w:p>
        </w:tc>
        <w:tc>
          <w:tcPr>
            <w:tcW w:w="6635" w:type="dxa"/>
            <w:tcBorders/>
            <w:vAlign w:val="center"/>
          </w:tcPr>
          <w:p>
            <w:pPr>
              <w:pStyle w:val="TableContents"/>
              <w:bidi w:val="0"/>
              <w:spacing w:before="0" w:after="283"/>
              <w:jc w:val="left"/>
              <w:rPr/>
            </w:pPr>
            <w:r>
              <w:rPr/>
              <w:t>Huan Liu</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 xml:space="preserve">Title: </w:t>
            </w:r>
          </w:p>
        </w:tc>
        <w:tc>
          <w:tcPr>
            <w:tcW w:w="6635" w:type="dxa"/>
            <w:tcBorders/>
            <w:vAlign w:val="center"/>
          </w:tcPr>
          <w:p>
            <w:pPr>
              <w:pStyle w:val="TableContents"/>
              <w:bidi w:val="0"/>
              <w:spacing w:before="0" w:after="283"/>
              <w:jc w:val="left"/>
              <w:rPr/>
            </w:pPr>
            <w:r>
              <w:rPr/>
              <w:t>CEO, Interim CFO, Director, and Chairman of the Board of Directors</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w:t>
      </w:r>
    </w:p>
    <w:p>
      <w:pPr>
        <w:pStyle w:val="TextBody"/>
        <w:bidi w:val="0"/>
        <w:spacing w:before="0" w:after="0"/>
        <w:ind w:left="0" w:right="0" w:hanging="0"/>
        <w:jc w:val="left"/>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1074"/>
        <w:gridCol w:w="2740"/>
        <w:gridCol w:w="75"/>
      </w:tblGrid>
      <w:tr>
        <w:trPr/>
        <w:tc>
          <w:tcPr>
            <w:tcW w:w="3814" w:type="dxa"/>
            <w:gridSpan w:val="2"/>
            <w:tcBorders/>
            <w:vAlign w:val="center"/>
          </w:tcPr>
          <w:p>
            <w:pPr>
              <w:pStyle w:val="TableContents"/>
              <w:bidi w:val="0"/>
              <w:spacing w:before="0" w:after="283"/>
              <w:jc w:val="left"/>
              <w:rPr>
                <w:b/>
              </w:rPr>
            </w:pPr>
            <w:r>
              <w:rPr>
                <w:b/>
              </w:rPr>
              <w:t>AC SUNSHINE SECURITIES LLC</w:t>
            </w:r>
          </w:p>
        </w:tc>
        <w:tc>
          <w:tcPr>
            <w:tcW w:w="75" w:type="dxa"/>
            <w:tcBorders/>
            <w:vAlign w:val="center"/>
          </w:tcPr>
          <w:p>
            <w:pPr>
              <w:pStyle w:val="TableContents"/>
              <w:bidi w:val="0"/>
              <w:spacing w:before="0" w:after="283"/>
              <w:jc w:val="both"/>
              <w:rPr/>
            </w:pPr>
            <w:r>
              <w:rPr/>
              <w:t> </w:t>
            </w:r>
          </w:p>
        </w:tc>
      </w:tr>
      <w:tr>
        <w:trPr/>
        <w:tc>
          <w:tcPr>
            <w:tcW w:w="38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074" w:type="dxa"/>
            <w:tcBorders/>
            <w:vAlign w:val="center"/>
          </w:tcPr>
          <w:p>
            <w:pPr>
              <w:pStyle w:val="TableContents"/>
              <w:bidi w:val="0"/>
              <w:spacing w:before="0" w:after="283"/>
              <w:jc w:val="left"/>
              <w:rPr/>
            </w:pPr>
            <w:r>
              <w:rPr/>
              <w:t xml:space="preserve">By: </w:t>
            </w:r>
          </w:p>
        </w:tc>
        <w:tc>
          <w:tcPr>
            <w:tcW w:w="2740" w:type="dxa"/>
            <w:tcBorders/>
            <w:vAlign w:val="center"/>
          </w:tcPr>
          <w:p>
            <w:pPr>
              <w:pStyle w:val="TableContents"/>
              <w:bidi w:val="0"/>
              <w:spacing w:before="0" w:after="283"/>
              <w:jc w:val="left"/>
              <w:rPr/>
            </w:pPr>
            <w:r>
              <w:rPr/>
              <w:t>/s/ Ying Cui</w:t>
            </w:r>
          </w:p>
        </w:tc>
        <w:tc>
          <w:tcPr>
            <w:tcW w:w="75" w:type="dxa"/>
            <w:tcBorders/>
            <w:vAlign w:val="center"/>
          </w:tcPr>
          <w:p>
            <w:pPr>
              <w:pStyle w:val="TableContents"/>
              <w:bidi w:val="0"/>
              <w:spacing w:before="0" w:after="283"/>
              <w:jc w:val="both"/>
              <w:rPr/>
            </w:pPr>
            <w:r>
              <w:rPr/>
              <w:t> </w:t>
            </w:r>
          </w:p>
        </w:tc>
      </w:tr>
      <w:tr>
        <w:trPr/>
        <w:tc>
          <w:tcPr>
            <w:tcW w:w="1074" w:type="dxa"/>
            <w:tcBorders/>
            <w:vAlign w:val="center"/>
          </w:tcPr>
          <w:p>
            <w:pPr>
              <w:pStyle w:val="TableContents"/>
              <w:bidi w:val="0"/>
              <w:spacing w:before="0" w:after="283"/>
              <w:jc w:val="left"/>
              <w:rPr/>
            </w:pPr>
            <w:r>
              <w:rPr/>
              <w:t xml:space="preserve">Name: </w:t>
            </w:r>
          </w:p>
        </w:tc>
        <w:tc>
          <w:tcPr>
            <w:tcW w:w="2740" w:type="dxa"/>
            <w:tcBorders/>
            <w:vAlign w:val="center"/>
          </w:tcPr>
          <w:p>
            <w:pPr>
              <w:pStyle w:val="TableContents"/>
              <w:bidi w:val="0"/>
              <w:spacing w:before="0" w:after="283"/>
              <w:jc w:val="left"/>
              <w:rPr/>
            </w:pPr>
            <w:r>
              <w:rPr/>
              <w:t>Ying Cui</w:t>
            </w:r>
          </w:p>
        </w:tc>
        <w:tc>
          <w:tcPr>
            <w:tcW w:w="75" w:type="dxa"/>
            <w:tcBorders/>
            <w:vAlign w:val="center"/>
          </w:tcPr>
          <w:p>
            <w:pPr>
              <w:pStyle w:val="TableContents"/>
              <w:bidi w:val="0"/>
              <w:spacing w:before="0" w:after="283"/>
              <w:jc w:val="both"/>
              <w:rPr/>
            </w:pPr>
            <w:r>
              <w:rPr/>
              <w:t> </w:t>
            </w:r>
          </w:p>
        </w:tc>
      </w:tr>
      <w:tr>
        <w:trPr/>
        <w:tc>
          <w:tcPr>
            <w:tcW w:w="1074" w:type="dxa"/>
            <w:tcBorders/>
            <w:vAlign w:val="center"/>
          </w:tcPr>
          <w:p>
            <w:pPr>
              <w:pStyle w:val="TableContents"/>
              <w:bidi w:val="0"/>
              <w:spacing w:before="0" w:after="283"/>
              <w:jc w:val="left"/>
              <w:rPr/>
            </w:pPr>
            <w:r>
              <w:rPr/>
              <w:t xml:space="preserve">Title: </w:t>
            </w:r>
          </w:p>
        </w:tc>
        <w:tc>
          <w:tcPr>
            <w:tcW w:w="2740" w:type="dxa"/>
            <w:tcBorders/>
            <w:vAlign w:val="center"/>
          </w:tcPr>
          <w:p>
            <w:pPr>
              <w:pStyle w:val="TableContents"/>
              <w:bidi w:val="0"/>
              <w:spacing w:before="0" w:after="283"/>
              <w:jc w:val="left"/>
              <w:rPr/>
            </w:pPr>
            <w:r>
              <w:rPr/>
              <w:t>President and CEO</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1302</Words>
  <Characters>6798</Characters>
  <CharactersWithSpaces>8116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