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10"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1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22"/>
          <w:szCs w:val="22"/>
          <w:color w:val="auto"/>
        </w:rPr>
        <w:t>Additional Soliciting Material Pursuant to Section 14(a) of the Securities Exchange Act of 1934</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Filed by the Registrant [ ]</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Filed by a Party other than the Registrant [X]</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 Preliminary Proxy Statement</w:t>
      </w:r>
    </w:p>
    <w:p>
      <w:pPr>
        <w:spacing w:after="0" w:line="206" w:lineRule="exact"/>
        <w:rPr>
          <w:sz w:val="24"/>
          <w:szCs w:val="24"/>
          <w:color w:val="auto"/>
        </w:rPr>
      </w:pPr>
    </w:p>
    <w:p>
      <w:pPr>
        <w:ind w:left="140" w:hanging="132"/>
        <w:spacing w:after="0"/>
        <w:tabs>
          <w:tab w:leader="none" w:pos="1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Confidential, for Use of the Commission Only (as permitted by Rule 14a-6(e)(2))</w:t>
      </w:r>
    </w:p>
    <w:p>
      <w:pPr>
        <w:spacing w:after="0" w:line="206" w:lineRule="exact"/>
        <w:rPr>
          <w:rFonts w:ascii="Times New Roman" w:cs="Times New Roman" w:eastAsia="Times New Roman" w:hAnsi="Times New Roman"/>
          <w:sz w:val="22"/>
          <w:szCs w:val="22"/>
          <w:color w:val="auto"/>
        </w:rPr>
      </w:pPr>
    </w:p>
    <w:p>
      <w:pPr>
        <w:ind w:right="7980" w:firstLine="8"/>
        <w:spacing w:after="0" w:line="435" w:lineRule="auto"/>
        <w:tabs>
          <w:tab w:leader="none" w:pos="12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Definitive Proxy Statement [X] Definitive Additional Materials</w:t>
      </w:r>
    </w:p>
    <w:p>
      <w:pPr>
        <w:ind w:left="140" w:hanging="132"/>
        <w:spacing w:after="0"/>
        <w:tabs>
          <w:tab w:leader="none" w:pos="1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Soliciting Material under Rule 14a-12</w:t>
      </w:r>
    </w:p>
    <w:p>
      <w:pPr>
        <w:spacing w:after="0" w:line="202"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CHEETAH NET SUPPLY CHAIN SERVICE INC.</w:t>
      </w:r>
    </w:p>
    <w:p>
      <w:pPr>
        <w:spacing w:after="0" w:line="21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20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TAKEOVER TIME 2026 LLC</w:t>
      </w:r>
    </w:p>
    <w:p>
      <w:pPr>
        <w:spacing w:after="0" w:line="20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NATASHA YURYEVNA OVSEPYAN</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JOURDAN PIERCE MATTHEWS</w:t>
      </w:r>
    </w:p>
    <w:p>
      <w:pPr>
        <w:spacing w:after="0" w:line="20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WALTER FRANKLIN HARRIS</w:t>
      </w:r>
    </w:p>
    <w:p>
      <w:pPr>
        <w:spacing w:after="0" w:line="206"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CAROL GRIMES</w:t>
      </w:r>
    </w:p>
    <w:p>
      <w:pPr>
        <w:spacing w:after="0" w:line="206"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YAN QIN</w:t>
      </w:r>
    </w:p>
    <w:p>
      <w:pPr>
        <w:spacing w:after="0" w:line="210"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all boxes that apply):</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 No fee required</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 Fee previously paid with preliminary materials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DATED OCTOBER 28, 2026</w:t>
      </w:r>
    </w:p>
    <w:p>
      <w:pPr>
        <w:spacing w:after="0" w:line="20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LETTER TO FELLOW STOCKHOLDERS</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TAKEOVER TIME 2026 LLC</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8403 NE 138th Street, Kirkland, Washington 98034</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October 28, 2026</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Fellow Stockholders of Cheetah Net Supply Chain Service Inc.:</w:t>
      </w:r>
    </w:p>
    <w:p>
      <w:pPr>
        <w:spacing w:after="0" w:line="202"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 xml:space="preserve">Fellow stockholders, </w:t>
      </w:r>
      <w:r>
        <w:rPr>
          <w:rFonts w:ascii="Times New Roman" w:cs="Times New Roman" w:eastAsia="Times New Roman" w:hAnsi="Times New Roman"/>
          <w:sz w:val="22"/>
          <w:szCs w:val="22"/>
          <w:b w:val="1"/>
          <w:bCs w:val="1"/>
          <w:color w:val="auto"/>
        </w:rPr>
        <w:t>THIS COMPANY IS NOT MANAGEMENT'S PERSONAL PROPERTY.</w:t>
      </w:r>
      <w:r>
        <w:rPr>
          <w:rFonts w:ascii="Times New Roman" w:cs="Times New Roman" w:eastAsia="Times New Roman" w:hAnsi="Times New Roman"/>
          <w:sz w:val="22"/>
          <w:szCs w:val="22"/>
          <w:color w:val="auto"/>
        </w:rPr>
        <w:t xml:space="preserve"> Your investments, your voting rights, and your ability to hold directors accountable are the reason for this letter. Regardless of how many shares you own, you deserve clear information about who controls CTNT, how that control was obtained, and what choices are available to you under the Company's governing documents and Delaware law.</w:t>
      </w:r>
    </w:p>
    <w:p>
      <w:pPr>
        <w:sectPr>
          <w:pgSz w:w="11900" w:h="16838" w:orient="portrait"/>
          <w:cols w:equalWidth="0" w:num="1">
            <w:col w:w="11060"/>
          </w:cols>
          <w:pgMar w:left="320" w:top="216" w:right="519" w:bottom="110" w:gutter="0" w:footer="0" w:header="0"/>
        </w:sectPr>
      </w:pPr>
    </w:p>
    <w:bookmarkStart w:id="1" w:name="page2"/>
    <w:bookmarkEnd w:id="1"/>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STOCKHOLDERS ARE NOT SPECTATORS. YOU ARE THE PEOPLE WHO BEAR THE CONSEQUENCES OF CORPORATE DECISIONS. YOUR VOICE MATTERS.</w:t>
      </w:r>
    </w:p>
    <w:p>
      <w:pPr>
        <w:spacing w:after="0" w:line="150"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b w:val="1"/>
          <w:bCs w:val="1"/>
          <w:color w:val="auto"/>
        </w:rPr>
        <w:t>ON OCTOBER 21, THE COURT GRANTED EXPEDITED PROCEEDINGS IN THE CHALLENGE TO THE CLASS B SHARE ISSUANCE. THE ISSUANCE REMAINS IN DISPUTE. YET CTNT'S OCTOBER 27 PRELIMINARY REVOCATION STATEMENT COUNTS THE 1.5 MILLION VOTES FROM THOSE SHARES IN ITS STATED CONSENT THRESHOLD. STOCKHOLDERS DESERVE TO UNDERSTAND BOTH FACTS.</w:t>
      </w:r>
    </w:p>
    <w:p>
      <w:pPr>
        <w:spacing w:after="0" w:line="17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 xml:space="preserve">Takeover Time 2026 LLC is issuing this additional soliciting material in response to the Company's October 27, 2026 preliminary consent revocation statement. We ask you to examine the full record, including the October Class B transaction, the pending Delaware litigation, and both sides' disclosures. </w:t>
      </w:r>
      <w:r>
        <w:rPr>
          <w:rFonts w:ascii="Times New Roman" w:cs="Times New Roman" w:eastAsia="Times New Roman" w:hAnsi="Times New Roman"/>
          <w:sz w:val="22"/>
          <w:szCs w:val="22"/>
          <w:b w:val="1"/>
          <w:bCs w:val="1"/>
          <w:color w:val="auto"/>
        </w:rPr>
        <w:t>Our purpose is to give stockholders information to make an informed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decision, not to ask anyone to accept management's or our account without scrutiny.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IMPORTANT INFORMATION ABOUT THE CONSENT SOLICITATION</w:t>
      </w:r>
    </w:p>
    <w:p>
      <w:pPr>
        <w:spacing w:after="0" w:line="20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This communication is being made by Takeover Time 2026 LLC in connection with its solicitation of written consents to replace the Board of Directors of Cheetah Net Supply Chain Service Inc. (Nasdaq: CTNT). It is not made on behalf of CTNT or its Board.</w:t>
      </w:r>
    </w:p>
    <w:p>
      <w:pPr>
        <w:spacing w:after="0" w:line="1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THE PARTICIPANTS IN THE SOLICITATION ARE TAKEOVER TIME 2026 LLC, NATASHA YURYEVNA OVSEPYAN, JOURDAN PIERCE MATTHEWS, WALTER FRANKLIN HARRIS, CAROL GRIMES, AND YAN QIN. Information about the participants and their direct or indirect interests, by securities holdings or otherwise, is contained in Takeover Time's Definitive Consent Solicitation Statement filed with the SEC on October 20, 2026, under the headings "PARTICIPANTS IN THE SOLICITATION," "SECURITIES TRANSACTIONS OF PARTICIPANTS," and "ARRANGEMENTS, COMPENSATION AND OTHER INTERESTS." The full statement is available without charge at the SEC link below.</w:t>
      </w:r>
    </w:p>
    <w:p>
      <w:pPr>
        <w:spacing w:after="0" w:line="171" w:lineRule="exact"/>
        <w:rPr>
          <w:sz w:val="20"/>
          <w:szCs w:val="20"/>
          <w:color w:val="auto"/>
        </w:rPr>
      </w:pPr>
    </w:p>
    <w:p>
      <w:pPr>
        <w:ind w:right="240"/>
        <w:spacing w:after="0" w:line="239" w:lineRule="auto"/>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color w:val="auto"/>
        </w:rPr>
        <w:t xml:space="preserve">STOCKHOLDERS SHOULD READ THAT DEFINITIVE CONSENT SOLICITATION STATEMENT, THE ACCOMPANYING CONSENT CARD WHEN FURNISHED, AND OTHER RELEVANT FILINGS CAREFULLY BEFORE MAKING A DECISION. Copies are available free of charge on the SEC website at www.sec.gov, including at: </w:t>
      </w:r>
      <w:hyperlink r:id="rId9">
        <w:r>
          <w:rPr>
            <w:rFonts w:ascii="Times New Roman" w:cs="Times New Roman" w:eastAsia="Times New Roman" w:hAnsi="Times New Roman"/>
            <w:sz w:val="22"/>
            <w:szCs w:val="22"/>
            <w:u w:val="single" w:color="auto"/>
            <w:color w:val="0000EE"/>
          </w:rPr>
          <w:t>https://www.sec.gov/Archives/edgar/data/1951667/000210778826000015/ctntdefc14a.htm</w:t>
        </w:r>
      </w:hyperlink>
    </w:p>
    <w:p>
      <w:pPr>
        <w:spacing w:after="0" w:line="18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Takeover Time's Definitive Consent Solicitation Statement was filed October 20, 2026 and is publicly available without charge at the SEC website. Takeover Time currently anticipates mailing the definitive solicitation materials to stockholders during the first week of November 2026 (anticipated November 2-6), subject to final consent-card approval, receipt of printed materials, and Broadridge processing. The materials may be received after that week.</w:t>
      </w:r>
    </w:p>
    <w:p>
      <w:pPr>
        <w:spacing w:after="0" w:line="18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The Company has filed its own preliminary consent revocation statement dated October 27, 2026. Stockholders should consider both parties' filed materials. This communication reflects Takeover Time's views and allegations; no court or Nasdaq determination of wrongdoing is asserted.</w:t>
      </w:r>
    </w:p>
    <w:p>
      <w:pPr>
        <w:spacing w:after="0" w:line="16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CTNT STOCKHOLDERS: THIS IS YOUR INVESTMENT, YOUR VOTING POWER, AND YOUR DECISION. LET'S SET THE RECORD STRAIGHT.</w:t>
      </w:r>
    </w:p>
    <w:p>
      <w:pPr>
        <w:spacing w:after="0" w:line="15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On October 27, 2026, Cheetah Net Supply Chain Service Inc. ("CTNT" or the "Company") filed a preliminary consent revocation statement opposing Takeover Time 2026 LLC's ("Takeover Time") solicitation. It challenges our share ownership, director nominees, qualifications, reimbursement disclosure, and plans for the Company.</w:t>
      </w:r>
    </w:p>
    <w:p>
      <w:pPr>
        <w:spacing w:after="0" w:line="169" w:lineRule="exact"/>
        <w:rPr>
          <w:sz w:val="20"/>
          <w:szCs w:val="20"/>
          <w:color w:val="auto"/>
        </w:rPr>
      </w:pPr>
    </w:p>
    <w:p>
      <w:pPr>
        <w:jc w:val="both"/>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Shareholders have every right to scrutinize our record. We welcome it. You have exactly the same right to scrutinize the incumbent Board, its decisions, its financial oversight, and the consequences for your investment. Accountability cannot be a one-way street.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STOCKHOLDERS DESERVE A CHOICE. WE ARE NOT BUYING CTNT.</w:t>
      </w:r>
    </w:p>
    <w:p>
      <w:pPr>
        <w:spacing w:after="0" w:line="210"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Takeover Time is not seeking to buy CTNT or purchase stockholders' shares. We are soliciting written consents for an integrated, three-proposal action to fix the Board at five seats, remove the incumbent directors, and elect the five nominees identified in our definitive consent solicitation statement.</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1"/>
          <w:szCs w:val="21"/>
          <w:color w:val="auto"/>
        </w:rPr>
        <w:t xml:space="preserve">Delaware law does not impose a general minimum percentage ownership requirement on a stockholder merely to initiate a lawful consent solicitation. The required level of affirmative shareholder support to </w:t>
      </w:r>
      <w:r>
        <w:rPr>
          <w:rFonts w:ascii="Times New Roman" w:cs="Times New Roman" w:eastAsia="Times New Roman" w:hAnsi="Times New Roman"/>
          <w:sz w:val="21"/>
          <w:szCs w:val="21"/>
          <w:b w:val="1"/>
          <w:bCs w:val="1"/>
          <w:color w:val="auto"/>
        </w:rPr>
        <w:t>effect</w:t>
      </w:r>
      <w:r>
        <w:rPr>
          <w:rFonts w:ascii="Times New Roman" w:cs="Times New Roman" w:eastAsia="Times New Roman" w:hAnsi="Times New Roman"/>
          <w:sz w:val="21"/>
          <w:szCs w:val="21"/>
          <w:color w:val="auto"/>
        </w:rPr>
        <w:t xml:space="preserve"> the proposed actions is a different issue.</w:t>
      </w:r>
    </w:p>
    <w:p>
      <w:pPr>
        <w:spacing w:after="0" w:line="131"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22"/>
          <w:szCs w:val="22"/>
          <w:b w:val="1"/>
          <w:bCs w:val="1"/>
          <w:color w:val="auto"/>
        </w:rPr>
        <w:t>A shareholder-led board replacement is not a corporate acquisition. We are asking stockholders to exercise the voting rights attached to their shares, not to sell us those shares. Whether you own one share or many, your right to ask questions and demand disclosure deserves respect.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YOUR VOTING POWER MATTERS: $330,000 FOR SHARES CARRYING 1.5 MILLION VOTES.</w:t>
      </w:r>
    </w:p>
    <w:p>
      <w:pPr>
        <w:spacing w:after="0" w:line="21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 xml:space="preserve">On October 7, 2026, CTNT entered into an agreement to sell Huan Liu, its Chairman and Chief Executive Officer, 100,000 additional Class B shares for $330,000. The transaction closed on October 9. Each Class B share carries 15 votes. </w:t>
      </w:r>
      <w:r>
        <w:rPr>
          <w:rFonts w:ascii="Times New Roman" w:cs="Times New Roman" w:eastAsia="Times New Roman" w:hAnsi="Times New Roman"/>
          <w:sz w:val="22"/>
          <w:szCs w:val="22"/>
          <w:b w:val="1"/>
          <w:bCs w:val="1"/>
          <w:color w:val="auto"/>
        </w:rPr>
        <w:t>THOSE 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SHARES CARRIED 1,500,000 VOTES.</w:t>
      </w:r>
    </w:p>
    <w:p>
      <w:pPr>
        <w:sectPr>
          <w:pgSz w:w="11900" w:h="16838" w:orient="portrait"/>
          <w:cols w:equalWidth="0" w:num="1">
            <w:col w:w="11240"/>
          </w:cols>
          <w:pgMar w:left="320" w:top="108" w:right="339" w:bottom="0" w:gutter="0" w:footer="0" w:header="0"/>
        </w:sectPr>
      </w:pPr>
    </w:p>
    <w:bookmarkStart w:id="2" w:name="page3"/>
    <w:bookmarkEnd w:id="2"/>
    <w:p>
      <w:pPr>
        <w:spacing w:after="0" w:line="30"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color w:val="auto"/>
        </w:rPr>
        <w:t xml:space="preserve">CTNT's October 27 filing describes Liu's earlier June Class B purchase as having </w:t>
      </w:r>
      <w:r>
        <w:rPr>
          <w:rFonts w:ascii="Times New Roman" w:cs="Times New Roman" w:eastAsia="Times New Roman" w:hAnsi="Times New Roman"/>
          <w:sz w:val="22"/>
          <w:szCs w:val="22"/>
          <w:b w:val="1"/>
          <w:bCs w:val="1"/>
          <w:color w:val="auto"/>
        </w:rPr>
        <w:t>"restored his majority voting position."</w:t>
      </w:r>
      <w:r>
        <w:rPr>
          <w:rFonts w:ascii="Times New Roman" w:cs="Times New Roman" w:eastAsia="Times New Roman" w:hAnsi="Times New Roman"/>
          <w:sz w:val="22"/>
          <w:szCs w:val="22"/>
          <w:color w:val="auto"/>
        </w:rPr>
        <w:t xml:space="preserve"> It then says his October Class B purchase </w:t>
      </w:r>
      <w:r>
        <w:rPr>
          <w:rFonts w:ascii="Times New Roman" w:cs="Times New Roman" w:eastAsia="Times New Roman" w:hAnsi="Times New Roman"/>
          <w:sz w:val="22"/>
          <w:szCs w:val="22"/>
          <w:b w:val="1"/>
          <w:bCs w:val="1"/>
          <w:color w:val="auto"/>
        </w:rPr>
        <w:t>"returned him to roughly his June position."</w:t>
      </w:r>
      <w:r>
        <w:rPr>
          <w:rFonts w:ascii="Times New Roman" w:cs="Times New Roman" w:eastAsia="Times New Roman" w:hAnsi="Times New Roman"/>
          <w:sz w:val="22"/>
          <w:szCs w:val="22"/>
          <w:color w:val="auto"/>
        </w:rPr>
        <w:t xml:space="preserve"> In the Company's disclosed capital structure, Liu held approximately </w:t>
      </w:r>
      <w:r>
        <w:rPr>
          <w:rFonts w:ascii="Times New Roman" w:cs="Times New Roman" w:eastAsia="Times New Roman" w:hAnsi="Times New Roman"/>
          <w:sz w:val="22"/>
          <w:szCs w:val="22"/>
          <w:b w:val="1"/>
          <w:bCs w:val="1"/>
          <w:color w:val="auto"/>
        </w:rPr>
        <w:t>53.30% of total voting power</w:t>
      </w:r>
      <w:r>
        <w:rPr>
          <w:rFonts w:ascii="Times New Roman" w:cs="Times New Roman" w:eastAsia="Times New Roman" w:hAnsi="Times New Roman"/>
          <w:sz w:val="22"/>
          <w:szCs w:val="22"/>
          <w:color w:val="auto"/>
        </w:rPr>
        <w:t xml:space="preserve"> after the October transaction.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RESTORED. RETURNED. LET THAT SINK IN.</w:t>
      </w:r>
    </w:p>
    <w:p>
      <w:pPr>
        <w:spacing w:after="0" w:line="210" w:lineRule="exact"/>
        <w:rPr>
          <w:sz w:val="20"/>
          <w:szCs w:val="20"/>
          <w:color w:val="auto"/>
        </w:rPr>
      </w:pPr>
    </w:p>
    <w:p>
      <w:pPr>
        <w:jc w:val="both"/>
        <w:ind w:right="440"/>
        <w:spacing w:after="0" w:line="244" w:lineRule="auto"/>
        <w:rPr>
          <w:sz w:val="20"/>
          <w:szCs w:val="20"/>
          <w:color w:val="auto"/>
        </w:rPr>
      </w:pPr>
      <w:r>
        <w:rPr>
          <w:rFonts w:ascii="Times New Roman" w:cs="Times New Roman" w:eastAsia="Times New Roman" w:hAnsi="Times New Roman"/>
          <w:sz w:val="22"/>
          <w:szCs w:val="22"/>
          <w:color w:val="auto"/>
        </w:rPr>
        <w:t>Takeover Time's effort to replace the Board was publicly disclosed before the October transaction. While stockholders were organizing to change directors, CTNT's Board approved a sale of super-voting shares that returned the incumbent CEO to a majority voting position.</w:t>
      </w:r>
    </w:p>
    <w:p>
      <w:pPr>
        <w:spacing w:after="0" w:line="17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CTNT had separately raised substantial funds through equity offerings. Its decision to sell Liu additional 15-vote Class B shares, rather than ordinary one-vote Class A shares, should be examined for its business purpose, alternatives, timing, fairness, and effect on the stockholder franchise.</w:t>
      </w:r>
    </w:p>
    <w:p>
      <w:pPr>
        <w:spacing w:after="0" w:line="16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For every CTNT stockholder, this is the central question: what does it mean for your ability, together with other stockholders, to influence who sits on the Board when 1.5 million additional votes are placed in the CEO's hands? We are asking shareholders to decide who should oversee their investment. The incumbent Board approved a transaction returning its CEO to majority voting control. Those are not the same thing.</w:t>
      </w:r>
    </w:p>
    <w:p>
      <w:pPr>
        <w:spacing w:after="0" w:line="172"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VOTING THRESHOLD ITSELF IS DISPUTED. </w:t>
      </w:r>
      <w:r>
        <w:rPr>
          <w:rFonts w:ascii="Times New Roman" w:cs="Times New Roman" w:eastAsia="Times New Roman" w:hAnsi="Times New Roman"/>
          <w:sz w:val="22"/>
          <w:szCs w:val="22"/>
          <w:color w:val="auto"/>
        </w:rPr>
        <w:t>In its October 27</w:t>
      </w:r>
      <w:r>
        <w:rPr>
          <w:rFonts w:ascii="Times New Roman" w:cs="Times New Roman" w:eastAsia="Times New Roman" w:hAnsi="Times New Roman"/>
          <w:sz w:val="22"/>
          <w:szCs w:val="22"/>
          <w:b w:val="1"/>
          <w:bCs w:val="1"/>
          <w:color w:val="auto"/>
        </w:rPr>
        <w:t xml:space="preserve"> preliminary </w:t>
      </w:r>
      <w:r>
        <w:rPr>
          <w:rFonts w:ascii="Times New Roman" w:cs="Times New Roman" w:eastAsia="Times New Roman" w:hAnsi="Times New Roman"/>
          <w:sz w:val="22"/>
          <w:szCs w:val="22"/>
          <w:color w:val="auto"/>
        </w:rPr>
        <w:t>statement, CTNT reports 1,332,087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outstanding Class A shares and 101,358 Class B shares, for a total of </w:t>
      </w:r>
      <w:r>
        <w:rPr>
          <w:rFonts w:ascii="Times New Roman" w:cs="Times New Roman" w:eastAsia="Times New Roman" w:hAnsi="Times New Roman"/>
          <w:sz w:val="22"/>
          <w:szCs w:val="22"/>
          <w:b w:val="1"/>
          <w:bCs w:val="1"/>
          <w:color w:val="auto"/>
        </w:rPr>
        <w:t>2,852,457 votes</w:t>
      </w:r>
      <w:r>
        <w:rPr>
          <w:rFonts w:ascii="Times New Roman" w:cs="Times New Roman" w:eastAsia="Times New Roman" w:hAnsi="Times New Roman"/>
          <w:sz w:val="22"/>
          <w:szCs w:val="22"/>
          <w:color w:val="auto"/>
        </w:rPr>
        <w:t xml:space="preserve">. CTNT states that </w:t>
      </w:r>
      <w:r>
        <w:rPr>
          <w:rFonts w:ascii="Times New Roman" w:cs="Times New Roman" w:eastAsia="Times New Roman" w:hAnsi="Times New Roman"/>
          <w:sz w:val="22"/>
          <w:szCs w:val="22"/>
          <w:b w:val="1"/>
          <w:bCs w:val="1"/>
          <w:color w:val="auto"/>
        </w:rPr>
        <w:t>1,426,229 votes</w:t>
      </w:r>
      <w:r>
        <w:rPr>
          <w:rFonts w:ascii="Times New Roman" w:cs="Times New Roman" w:eastAsia="Times New Roman" w:hAnsi="Times New Roman"/>
          <w:sz w:val="22"/>
          <w:szCs w:val="22"/>
          <w:color w:val="auto"/>
        </w:rPr>
        <w:t xml:space="preserve"> are needed to approve the written-consent proposals. Its calculation expressly </w:t>
      </w:r>
      <w:r>
        <w:rPr>
          <w:rFonts w:ascii="Times New Roman" w:cs="Times New Roman" w:eastAsia="Times New Roman" w:hAnsi="Times New Roman"/>
          <w:sz w:val="22"/>
          <w:szCs w:val="22"/>
          <w:b w:val="1"/>
          <w:bCs w:val="1"/>
          <w:color w:val="auto"/>
        </w:rPr>
        <w:t>includes 1,500,000 votes from the October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issuance to CEO Huan Liu</w:t>
      </w:r>
      <w:r>
        <w:rPr>
          <w:rFonts w:ascii="Times New Roman" w:cs="Times New Roman" w:eastAsia="Times New Roman" w:hAnsi="Times New Roman"/>
          <w:sz w:val="22"/>
          <w:szCs w:val="22"/>
          <w:color w:val="auto"/>
        </w:rPr>
        <w:t>, even though that issuance is challenged in pending litigation. The Company says its calculation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any applicable court order and disagrees with Takeover Time's exclusion of the disputed shares.</w:t>
      </w:r>
    </w:p>
    <w:p>
      <w:pPr>
        <w:spacing w:after="0" w:line="177"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TAKEOVER TIME DISPUTES THAT VOTING BASE. </w:t>
      </w:r>
      <w:r>
        <w:rPr>
          <w:rFonts w:ascii="Times New Roman" w:cs="Times New Roman" w:eastAsia="Times New Roman" w:hAnsi="Times New Roman"/>
          <w:sz w:val="22"/>
          <w:szCs w:val="22"/>
          <w:color w:val="auto"/>
        </w:rPr>
        <w:t>Our October 20 definitive consent statement sets out an alternative</w:t>
      </w:r>
      <w:r>
        <w:rPr>
          <w:rFonts w:ascii="Times New Roman" w:cs="Times New Roman" w:eastAsia="Times New Roman" w:hAnsi="Times New Roman"/>
          <w:sz w:val="22"/>
          <w:szCs w:val="22"/>
          <w:b w:val="1"/>
          <w:bCs w:val="1"/>
          <w:color w:val="auto"/>
        </w:rPr>
        <w:t xml:space="preserve"> 676,229-vote majority threshold </w:t>
      </w:r>
      <w:r>
        <w:rPr>
          <w:rFonts w:ascii="Times New Roman" w:cs="Times New Roman" w:eastAsia="Times New Roman" w:hAnsi="Times New Roman"/>
          <w:sz w:val="22"/>
          <w:szCs w:val="22"/>
          <w:color w:val="auto"/>
        </w:rPr>
        <w:t>if the challenged block is excluded. We are not asserting that a court has accepted 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calculation. </w:t>
      </w:r>
      <w:r>
        <w:rPr>
          <w:rFonts w:ascii="Times New Roman" w:cs="Times New Roman" w:eastAsia="Times New Roman" w:hAnsi="Times New Roman"/>
          <w:sz w:val="22"/>
          <w:szCs w:val="22"/>
          <w:b w:val="1"/>
          <w:bCs w:val="1"/>
          <w:color w:val="auto"/>
        </w:rPr>
        <w:t>Until the Court rules, the parties disagree over whether those 1.5 million votes should count toward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consent threshold. </w:t>
      </w:r>
      <w:r>
        <w:rPr>
          <w:rFonts w:ascii="Times New Roman" w:cs="Times New Roman" w:eastAsia="Times New Roman" w:hAnsi="Times New Roman"/>
          <w:sz w:val="22"/>
          <w:szCs w:val="22"/>
          <w:color w:val="auto"/>
        </w:rPr>
        <w:t>The Court's denial of temporary relief did not finally adjudicate the validity of the issuance or exclude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from voting.</w:t>
      </w:r>
    </w:p>
    <w:p>
      <w:pPr>
        <w:spacing w:after="0" w:line="177" w:lineRule="exact"/>
        <w:rPr>
          <w:sz w:val="20"/>
          <w:szCs w:val="20"/>
          <w:color w:val="auto"/>
        </w:rPr>
      </w:pPr>
    </w:p>
    <w:p>
      <w:pPr>
        <w:jc w:val="both"/>
        <w:ind w:right="30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TO CTNT STOCKHOLDERS: THIS IS NOT JUST AN ACCOUNTING DIFFERENCE. IT IS A DISPUTE ABOUT HOW YOUR COLLECTIVE VOTING POWER IS MEASURED WHILE YOU ARE BEING ASKED TO DECIDE THE BOARD'S FUTURE. </w:t>
      </w:r>
      <w:r>
        <w:rPr>
          <w:rFonts w:ascii="Times New Roman" w:cs="Times New Roman" w:eastAsia="Times New Roman" w:hAnsi="Times New Roman"/>
          <w:sz w:val="22"/>
          <w:szCs w:val="22"/>
          <w:color w:val="auto"/>
        </w:rPr>
        <w:t>We believe the proper treatment of the challenged votes deserves prompt judicial resolution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prominent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STOCKHOLDER VOTING RIGHTS WARRANT INDEPENDENT LEGAL SCRUTINY.</w:t>
      </w:r>
    </w:p>
    <w:p>
      <w:pPr>
        <w:spacing w:after="0" w:line="206" w:lineRule="exact"/>
        <w:rPr>
          <w:sz w:val="20"/>
          <w:szCs w:val="20"/>
          <w:color w:val="auto"/>
        </w:rPr>
      </w:pPr>
    </w:p>
    <w:p>
      <w:pPr>
        <w:jc w:val="both"/>
        <w:ind w:right="480"/>
        <w:spacing w:after="0" w:line="246" w:lineRule="auto"/>
        <w:rPr>
          <w:sz w:val="20"/>
          <w:szCs w:val="20"/>
          <w:color w:val="auto"/>
        </w:rPr>
      </w:pPr>
      <w:r>
        <w:rPr>
          <w:rFonts w:ascii="Times New Roman" w:cs="Times New Roman" w:eastAsia="Times New Roman" w:hAnsi="Times New Roman"/>
          <w:sz w:val="22"/>
          <w:szCs w:val="22"/>
          <w:color w:val="auto"/>
        </w:rPr>
        <w:t xml:space="preserve">We believe the October Class B transaction warrants examination under the following provisions and principles. </w:t>
      </w:r>
      <w:r>
        <w:rPr>
          <w:rFonts w:ascii="Times New Roman" w:cs="Times New Roman" w:eastAsia="Times New Roman" w:hAnsi="Times New Roman"/>
          <w:sz w:val="22"/>
          <w:szCs w:val="22"/>
          <w:b w:val="1"/>
          <w:bCs w:val="1"/>
          <w:color w:val="auto"/>
        </w:rPr>
        <w:t>These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possible legal issues and asserted grounds for examination, not findings by a court or Nasdaq that any violation has occurred:</w:t>
      </w:r>
    </w:p>
    <w:p>
      <w:pPr>
        <w:spacing w:after="0" w:line="167" w:lineRule="exact"/>
        <w:rPr>
          <w:sz w:val="20"/>
          <w:szCs w:val="20"/>
          <w:color w:val="auto"/>
        </w:rPr>
      </w:pPr>
    </w:p>
    <w:p>
      <w:pPr>
        <w:ind w:left="140" w:hanging="132"/>
        <w:spacing w:after="0"/>
        <w:tabs>
          <w:tab w:leader="none" w:pos="1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Nasdaq Rule 5635(b) </w:t>
      </w:r>
      <w:r>
        <w:rPr>
          <w:rFonts w:ascii="Times New Roman" w:cs="Times New Roman" w:eastAsia="Times New Roman" w:hAnsi="Times New Roman"/>
          <w:sz w:val="22"/>
          <w:szCs w:val="22"/>
          <w:color w:val="auto"/>
        </w:rPr>
        <w:t>- whether shareholder approval was required in light of the issuance's effect on control.</w:t>
      </w:r>
    </w:p>
    <w:p>
      <w:pPr>
        <w:spacing w:after="0" w:line="206"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Nasdaq Rule 5630 </w:t>
      </w:r>
      <w:r>
        <w:rPr>
          <w:rFonts w:ascii="Times New Roman" w:cs="Times New Roman" w:eastAsia="Times New Roman" w:hAnsi="Times New Roman"/>
          <w:sz w:val="22"/>
          <w:szCs w:val="22"/>
          <w:color w:val="auto"/>
        </w:rPr>
        <w:t>- whether the related-party transaction received appropriate independent review and oversight.</w:t>
      </w:r>
    </w:p>
    <w:p>
      <w:pPr>
        <w:spacing w:after="0" w:line="206" w:lineRule="exact"/>
        <w:rPr>
          <w:rFonts w:ascii="Times New Roman" w:cs="Times New Roman" w:eastAsia="Times New Roman" w:hAnsi="Times New Roman"/>
          <w:sz w:val="22"/>
          <w:szCs w:val="22"/>
          <w:color w:val="auto"/>
        </w:rPr>
      </w:pPr>
    </w:p>
    <w:p>
      <w:pPr>
        <w:ind w:right="320" w:firstLine="8"/>
        <w:spacing w:after="0" w:line="262" w:lineRule="auto"/>
        <w:tabs>
          <w:tab w:leader="none" w:pos="12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Nasdaq Rule 5640 </w:t>
      </w:r>
      <w:r>
        <w:rPr>
          <w:rFonts w:ascii="Times New Roman" w:cs="Times New Roman" w:eastAsia="Times New Roman" w:hAnsi="Times New Roman"/>
          <w:sz w:val="22"/>
          <w:szCs w:val="22"/>
          <w:color w:val="auto"/>
        </w:rPr>
        <w:t>- whether the issuance comported with voting-rights protections, taking account of CTNT's pre-existing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dual-class structure.</w:t>
      </w:r>
    </w:p>
    <w:p>
      <w:pPr>
        <w:spacing w:after="0" w:line="149" w:lineRule="exact"/>
        <w:rPr>
          <w:rFonts w:ascii="Times New Roman" w:cs="Times New Roman" w:eastAsia="Times New Roman" w:hAnsi="Times New Roman"/>
          <w:sz w:val="22"/>
          <w:szCs w:val="22"/>
          <w:color w:val="auto"/>
        </w:rPr>
      </w:pPr>
    </w:p>
    <w:p>
      <w:pPr>
        <w:ind w:firstLine="8"/>
        <w:spacing w:after="0" w:line="262" w:lineRule="auto"/>
        <w:tabs>
          <w:tab w:leader="none" w:pos="12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Nasdaq Rule 5250(e)(2) </w:t>
      </w:r>
      <w:r>
        <w:rPr>
          <w:rFonts w:ascii="Times New Roman" w:cs="Times New Roman" w:eastAsia="Times New Roman" w:hAnsi="Times New Roman"/>
          <w:sz w:val="22"/>
          <w:szCs w:val="22"/>
          <w:color w:val="auto"/>
        </w:rPr>
        <w:t>- whether any applicable advance notification obligations concerning additional shares were satisfied;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Takeover Time has not established that a required notice was omitted.</w:t>
      </w:r>
    </w:p>
    <w:p>
      <w:pPr>
        <w:spacing w:after="0" w:line="149" w:lineRule="exact"/>
        <w:rPr>
          <w:rFonts w:ascii="Times New Roman" w:cs="Times New Roman" w:eastAsia="Times New Roman" w:hAnsi="Times New Roman"/>
          <w:sz w:val="22"/>
          <w:szCs w:val="22"/>
          <w:color w:val="auto"/>
        </w:rPr>
      </w:pPr>
    </w:p>
    <w:p>
      <w:pPr>
        <w:ind w:right="580" w:firstLine="8"/>
        <w:spacing w:after="0" w:line="262" w:lineRule="auto"/>
        <w:tabs>
          <w:tab w:leader="none" w:pos="12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DGCL Section 144 </w:t>
      </w:r>
      <w:r>
        <w:rPr>
          <w:rFonts w:ascii="Times New Roman" w:cs="Times New Roman" w:eastAsia="Times New Roman" w:hAnsi="Times New Roman"/>
          <w:sz w:val="22"/>
          <w:szCs w:val="22"/>
          <w:color w:val="auto"/>
        </w:rPr>
        <w:t>- the applicability of Delaware's interested-director transaction provisions and any relevant statutory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protections.</w:t>
      </w:r>
    </w:p>
    <w:p>
      <w:pPr>
        <w:spacing w:after="0" w:line="149"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DGCL Sections 152 and 153 </w:t>
      </w:r>
      <w:r>
        <w:rPr>
          <w:rFonts w:ascii="Times New Roman" w:cs="Times New Roman" w:eastAsia="Times New Roman" w:hAnsi="Times New Roman"/>
          <w:sz w:val="22"/>
          <w:szCs w:val="22"/>
          <w:color w:val="auto"/>
        </w:rPr>
        <w:t>- compliance with statutory and charter requirements for authorizing and issuing shares.</w:t>
      </w:r>
    </w:p>
    <w:p>
      <w:pPr>
        <w:spacing w:after="0" w:line="206" w:lineRule="exact"/>
        <w:rPr>
          <w:rFonts w:ascii="Times New Roman" w:cs="Times New Roman" w:eastAsia="Times New Roman" w:hAnsi="Times New Roman"/>
          <w:sz w:val="22"/>
          <w:szCs w:val="22"/>
          <w:color w:val="auto"/>
        </w:rPr>
      </w:pPr>
    </w:p>
    <w:p>
      <w:pPr>
        <w:ind w:right="860" w:firstLine="8"/>
        <w:spacing w:after="0" w:line="262" w:lineRule="auto"/>
        <w:tabs>
          <w:tab w:leader="none" w:pos="12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Delaware fiduciary duties of loyalty and care </w:t>
      </w:r>
      <w:r>
        <w:rPr>
          <w:rFonts w:ascii="Times New Roman" w:cs="Times New Roman" w:eastAsia="Times New Roman" w:hAnsi="Times New Roman"/>
          <w:sz w:val="22"/>
          <w:szCs w:val="22"/>
          <w:color w:val="auto"/>
        </w:rPr>
        <w:t>- whether the directors acted for proper corporate purposes and on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appropriately informed basis.</w:t>
      </w:r>
    </w:p>
    <w:p>
      <w:pPr>
        <w:spacing w:after="0" w:line="149" w:lineRule="exact"/>
        <w:rPr>
          <w:rFonts w:ascii="Times New Roman" w:cs="Times New Roman" w:eastAsia="Times New Roman" w:hAnsi="Times New Roman"/>
          <w:sz w:val="22"/>
          <w:szCs w:val="22"/>
          <w:color w:val="auto"/>
        </w:rPr>
      </w:pPr>
    </w:p>
    <w:p>
      <w:pPr>
        <w:ind w:right="120" w:firstLine="8"/>
        <w:spacing w:after="0" w:line="262" w:lineRule="auto"/>
        <w:tabs>
          <w:tab w:leader="none" w:pos="12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Coster v. UIP Companies and related Delaware equitable principles </w:t>
      </w:r>
      <w:r>
        <w:rPr>
          <w:rFonts w:ascii="Times New Roman" w:cs="Times New Roman" w:eastAsia="Times New Roman" w:hAnsi="Times New Roman"/>
          <w:sz w:val="22"/>
          <w:szCs w:val="22"/>
          <w:color w:val="auto"/>
        </w:rPr>
        <w:t>- whether a stock issuance improperly interfered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 voting rights and a pending board-replacement effort.</w:t>
      </w:r>
    </w:p>
    <w:p>
      <w:pPr>
        <w:spacing w:after="0" w:line="15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22"/>
          <w:szCs w:val="22"/>
          <w:b w:val="1"/>
          <w:bCs w:val="1"/>
          <w:color w:val="auto"/>
        </w:rPr>
        <w:t>Stockholder voting rights are not a technical afterthought. Board approval, or payment of $330,000, does not by itself resolve every legal and equitable question concerning 1.5 million additional votes.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STOCKHOLDERS DESERVE THE FULL STORY ABOUT THE COURT PROCEEDINGS.</w:t>
      </w:r>
    </w:p>
    <w:p>
      <w:pPr>
        <w:spacing w:after="0" w:line="20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THE COMPANY'S OWN PRINCIPAL CHRONOLOGY LEAVES OUT A MATERIAL COURT HEARING. </w:t>
      </w:r>
      <w:r>
        <w:rPr>
          <w:rFonts w:ascii="Times New Roman" w:cs="Times New Roman" w:eastAsia="Times New Roman" w:hAnsi="Times New Roman"/>
          <w:sz w:val="21"/>
          <w:szCs w:val="21"/>
          <w:color w:val="auto"/>
        </w:rPr>
        <w:t>On page 4</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its October 27 preliminary revocation statement, CTNT presents a section titled </w:t>
      </w:r>
      <w:r>
        <w:rPr>
          <w:rFonts w:ascii="Times New Roman" w:cs="Times New Roman" w:eastAsia="Times New Roman" w:hAnsi="Times New Roman"/>
          <w:sz w:val="21"/>
          <w:szCs w:val="21"/>
          <w:b w:val="1"/>
          <w:bCs w:val="1"/>
          <w:color w:val="auto"/>
        </w:rPr>
        <w:t>"BACKGROUND OF THE TAKEOVER</w:t>
      </w:r>
    </w:p>
    <w:p>
      <w:pPr>
        <w:sectPr>
          <w:pgSz w:w="11900" w:h="16868" w:orient="portrait"/>
          <w:cols w:equalWidth="0" w:num="1">
            <w:col w:w="11140"/>
          </w:cols>
          <w:pgMar w:left="320" w:top="108" w:right="439" w:bottom="0" w:gutter="0" w:footer="0" w:header="0"/>
        </w:sectPr>
      </w:pPr>
    </w:p>
    <w:bookmarkStart w:id="3" w:name="page4"/>
    <w:bookmarkEnd w:id="3"/>
    <w:p>
      <w:pPr>
        <w:spacing w:after="0" w:line="6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TIME CONSENT SOLICITATION" </w:t>
      </w:r>
      <w:r>
        <w:rPr>
          <w:rFonts w:ascii="Times New Roman" w:cs="Times New Roman" w:eastAsia="Times New Roman" w:hAnsi="Times New Roman"/>
          <w:sz w:val="22"/>
          <w:szCs w:val="22"/>
          <w:color w:val="auto"/>
        </w:rPr>
        <w:t>as a chronology of principal events. That list gives dated entries to October 15 press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releases, an October 16 communication, the October 20 definitive consent filing, and the Company's October 27 filing. </w:t>
      </w:r>
      <w:r>
        <w:rPr>
          <w:rFonts w:ascii="Times New Roman" w:cs="Times New Roman" w:eastAsia="Times New Roman" w:hAnsi="Times New Roman"/>
          <w:sz w:val="22"/>
          <w:szCs w:val="22"/>
          <w:b w:val="1"/>
          <w:bCs w:val="1"/>
          <w:color w:val="auto"/>
        </w:rPr>
        <w:t>Yet 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contains no separate October 21 entry for the Court of Chancery hearing concerning the very Class B issuance being challenged. </w:t>
      </w:r>
      <w:r>
        <w:rPr>
          <w:rFonts w:ascii="Times New Roman" w:cs="Times New Roman" w:eastAsia="Times New Roman" w:hAnsi="Times New Roman"/>
          <w:sz w:val="22"/>
          <w:szCs w:val="22"/>
          <w:color w:val="auto"/>
        </w:rPr>
        <w:t>CTNT</w:t>
      </w:r>
      <w:r>
        <w:rPr>
          <w:rFonts w:ascii="Times New Roman" w:cs="Times New Roman" w:eastAsia="Times New Roman" w:hAnsi="Times New Roman"/>
          <w:sz w:val="22"/>
          <w:szCs w:val="22"/>
          <w:b w:val="1"/>
          <w:bCs w:val="1"/>
          <w:color w:val="auto"/>
        </w:rPr>
        <w:t xml:space="preserve"> does acknowledge the hearing later, on page 18 under "CERTAIN LITIGATION." </w:t>
      </w:r>
      <w:r>
        <w:rPr>
          <w:rFonts w:ascii="Times New Roman" w:cs="Times New Roman" w:eastAsia="Times New Roman" w:hAnsi="Times New Roman"/>
          <w:sz w:val="22"/>
          <w:szCs w:val="22"/>
          <w:color w:val="auto"/>
        </w:rPr>
        <w:t>The point is not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failed to disclose the hearing anywhere; it is that the hearing was omitted from the principal chronology presented to stockholders.</w:t>
      </w:r>
    </w:p>
    <w:p>
      <w:pPr>
        <w:spacing w:after="0" w:line="17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 xml:space="preserve">At the October 21 hearing, Vice Chancellor Nathan A. Cook </w:t>
      </w:r>
      <w:r>
        <w:rPr>
          <w:rFonts w:ascii="Times New Roman" w:cs="Times New Roman" w:eastAsia="Times New Roman" w:hAnsi="Times New Roman"/>
          <w:sz w:val="22"/>
          <w:szCs w:val="22"/>
          <w:b w:val="1"/>
          <w:bCs w:val="1"/>
          <w:color w:val="auto"/>
        </w:rPr>
        <w:t>GRANTED Plaintiff's request for expedited proceedings</w:t>
      </w:r>
      <w:r>
        <w:rPr>
          <w:rFonts w:ascii="Times New Roman" w:cs="Times New Roman" w:eastAsia="Times New Roman" w:hAnsi="Times New Roman"/>
          <w:sz w:val="22"/>
          <w:szCs w:val="22"/>
          <w:color w:val="auto"/>
        </w:rPr>
        <w:t xml:space="preserve"> in the challenge to the October Class B issuance. The Court also </w:t>
      </w:r>
      <w:r>
        <w:rPr>
          <w:rFonts w:ascii="Times New Roman" w:cs="Times New Roman" w:eastAsia="Times New Roman" w:hAnsi="Times New Roman"/>
          <w:sz w:val="22"/>
          <w:szCs w:val="22"/>
          <w:b w:val="1"/>
          <w:bCs w:val="1"/>
          <w:color w:val="auto"/>
        </w:rPr>
        <w:t>DENIED immediate interim injunctive relief</w:t>
      </w:r>
      <w:r>
        <w:rPr>
          <w:rFonts w:ascii="Times New Roman" w:cs="Times New Roman" w:eastAsia="Times New Roman" w:hAnsi="Times New Roman"/>
          <w:sz w:val="22"/>
          <w:szCs w:val="22"/>
          <w:color w:val="auto"/>
        </w:rPr>
        <w:t xml:space="preserve">. Those procedural rulings are distinct: </w:t>
      </w:r>
      <w:r>
        <w:rPr>
          <w:rFonts w:ascii="Times New Roman" w:cs="Times New Roman" w:eastAsia="Times New Roman" w:hAnsi="Times New Roman"/>
          <w:sz w:val="22"/>
          <w:szCs w:val="22"/>
          <w:b w:val="1"/>
          <w:bCs w:val="1"/>
          <w:color w:val="auto"/>
        </w:rPr>
        <w:t>granting expedition allows the challenge to proceed promptly; denying immediate relief did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determine whether the 100,000 Class B shares were lawfully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preliminary injunction hearing is scheduled for November 18, 2026, at 9:15 a.m. Eastern Time, in person.</w:t>
      </w:r>
    </w:p>
    <w:p>
      <w:pPr>
        <w:spacing w:after="0" w:line="206"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WHY WERE PRESS RELEASES IMPORTANT ENOUGH FOR THE PRINCIPAL CHRONOLOGY, BUT THE OCTOBER 21 COURT HEARING WAS NOT? </w:t>
      </w:r>
      <w:r>
        <w:rPr>
          <w:rFonts w:ascii="Times New Roman" w:cs="Times New Roman" w:eastAsia="Times New Roman" w:hAnsi="Times New Roman"/>
          <w:sz w:val="22"/>
          <w:szCs w:val="22"/>
          <w:color w:val="auto"/>
        </w:rPr>
        <w:t>In Takeover Time's view, the court-ordered expedition and the denial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immediate relief are both material procedural developments. </w:t>
      </w:r>
      <w:r>
        <w:rPr>
          <w:rFonts w:ascii="Times New Roman" w:cs="Times New Roman" w:eastAsia="Times New Roman" w:hAnsi="Times New Roman"/>
          <w:sz w:val="22"/>
          <w:szCs w:val="22"/>
          <w:b w:val="1"/>
          <w:bCs w:val="1"/>
          <w:color w:val="auto"/>
        </w:rPr>
        <w:t>STOCKHOLDERS SHOULD SEE THE COMPLETE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PROCEDURAL PICTURE WHEN ASSESSING THE COMPANY'S ACCOUNT OF THIS CONTEST. </w:t>
      </w:r>
      <w:r>
        <w:rPr>
          <w:rFonts w:ascii="Times New Roman" w:cs="Times New Roman" w:eastAsia="Times New Roman" w:hAnsi="Times New Roman"/>
          <w:sz w:val="22"/>
          <w:szCs w:val="22"/>
          <w:color w:val="auto"/>
        </w:rPr>
        <w:t>This criticism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concerns the prominence and placement of the information; it is not an assertion that CTNT concealed the hearing or that the Court has decided the merits.</w:t>
      </w:r>
    </w:p>
    <w:p>
      <w:pPr>
        <w:spacing w:after="0" w:line="175"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THE LITIGATION REMAINS PENDING. THE COURT HAS NOT FINALLY RULED THAT THE CHALLENGED CLASS B ISSUANCE WAS VALID OR INVALID. </w:t>
      </w:r>
      <w:r>
        <w:rPr>
          <w:rFonts w:ascii="Times New Roman" w:cs="Times New Roman" w:eastAsia="Times New Roman" w:hAnsi="Times New Roman"/>
          <w:sz w:val="21"/>
          <w:szCs w:val="21"/>
          <w:color w:val="auto"/>
        </w:rPr>
        <w:t>CTNT's stated majority threshold includes the contested shares but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expressly acknowledges that a court order could change the voting-power calculation. </w:t>
      </w:r>
      <w:r>
        <w:rPr>
          <w:rFonts w:ascii="Times New Roman" w:cs="Times New Roman" w:eastAsia="Times New Roman" w:hAnsi="Times New Roman"/>
          <w:sz w:val="21"/>
          <w:szCs w:val="21"/>
          <w:b w:val="1"/>
          <w:bCs w:val="1"/>
          <w:color w:val="auto"/>
        </w:rPr>
        <w:t>STOCKHOLDERS SHOULD NOT</w:t>
      </w:r>
    </w:p>
    <w:p>
      <w:pPr>
        <w:spacing w:after="0" w:line="2"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22"/>
          <w:szCs w:val="22"/>
          <w:b w:val="1"/>
          <w:bCs w:val="1"/>
          <w:color w:val="auto"/>
        </w:rPr>
        <w:t>CONFUSE A CURRENTLY REPORTED VOTING COUNT WITH A FINAL JUDICIAL DECISION ABOUT THE ISSUANCE.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STOCKHOLDERS DESERVE ANSWERS ABOUT HOW THE TRANSACTION WAS APPROVED.</w:t>
      </w:r>
    </w:p>
    <w:p>
      <w:pPr>
        <w:spacing w:after="0" w:line="21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CTNT says the Class B transaction was reviewed and approved by disinterested directors. The publicly filed purchase agreement identifies the Board, acting through a committee of disinterested directors, as having reviewed and approved the related-party transaction. It does not itself provide the full underlying deliberation record.</w:t>
      </w:r>
    </w:p>
    <w:p>
      <w:pPr>
        <w:spacing w:after="0" w:line="169"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I have repeatedly demanded the full meeting minutes and the supporting approval records. I have received meeting-minute material, but my requests for the complete minutes and related supporting documentation have not been fully satisfied. </w:t>
      </w:r>
      <w:r>
        <w:rPr>
          <w:rFonts w:ascii="Times New Roman" w:cs="Times New Roman" w:eastAsia="Times New Roman" w:hAnsi="Times New Roman"/>
          <w:sz w:val="22"/>
          <w:szCs w:val="22"/>
          <w:color w:val="auto"/>
        </w:rPr>
        <w:t>I continue to seek a substantive response concerning the remaining records.</w:t>
      </w:r>
    </w:p>
    <w:p>
      <w:pPr>
        <w:spacing w:after="0" w:line="171"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 xml:space="preserve">The transaction's purpose, alternatives, anticipated voting effect, and actual approval process should be supported by the contemporaneous record - not merely management's later characterization. </w:t>
      </w:r>
      <w:r>
        <w:rPr>
          <w:rFonts w:ascii="Times New Roman" w:cs="Times New Roman" w:eastAsia="Times New Roman" w:hAnsi="Times New Roman"/>
          <w:sz w:val="22"/>
          <w:szCs w:val="22"/>
          <w:b w:val="1"/>
          <w:bCs w:val="1"/>
          <w:color w:val="auto"/>
        </w:rPr>
        <w:t>Stockholders deserve an explanation they can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evaluate, not a demand for blind trust. </w:t>
      </w:r>
      <w:r>
        <w:rPr>
          <w:rFonts w:ascii="Times New Roman" w:cs="Times New Roman" w:eastAsia="Times New Roman" w:hAnsi="Times New Roman"/>
          <w:sz w:val="22"/>
          <w:szCs w:val="22"/>
          <w:color w:val="auto"/>
        </w:rPr>
        <w:t>No sealed or confidential minutes are reproduced here.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STOCKHOLDERS SHOULD JUDGE PERFORMANCE, NOT JUST RESUMES.</w:t>
      </w:r>
    </w:p>
    <w:p>
      <w:pPr>
        <w:spacing w:after="0" w:line="2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CTNT has disclosed substantial equity issuances and dilution, reverse stock splits, ineffective disclosure controls, significant lending and receivable exposure, and approximately RMB 280 million (about $41.11 million at contribution) tied to an investment arrangement that was subsequently terminated. The filed termination agreement described fundamental regulatory and structural deficiencies in that arrangement.</w:t>
      </w:r>
    </w:p>
    <w:p>
      <w:pPr>
        <w:spacing w:after="0" w:line="180"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22"/>
          <w:szCs w:val="22"/>
          <w:color w:val="auto"/>
        </w:rPr>
        <w:t>Liu serves as Chairman, CEO, and Interim CFO, with principal accounting responsibilities. These disclosed circumstances warrant serious assessment of independent oversight, capital allocation, and controls.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Qualifications are more than titles on a resume. PERFORMANCE MATTERS. ACCOUNTABILITY MATTERS.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MATTER.</w:t>
      </w:r>
    </w:p>
    <w:p>
      <w:pPr>
        <w:spacing w:after="0" w:line="182"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current directors have had the opportunity to oversee these matters. Shareholders are entitled to judge their record and consider a different Board.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STOCKHOLDERS DESERVE ONE STANDARD OF TRANSPARENCY FOR BOTH SIDES.</w:t>
      </w:r>
    </w:p>
    <w:p>
      <w:pPr>
        <w:spacing w:after="0" w:line="21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CTNT criticizes the small shareholdings of our participants and disclosed family relationships among nominees. Its own preliminary revocation statement recognizes that neither limited ownership nor a family relationship automatically disqualifies a nominee. We agree that relationships and economic interests warrant transparent disclosure; the same standard should apply to incumbent directors.</w:t>
      </w:r>
    </w:p>
    <w:p>
      <w:pPr>
        <w:spacing w:after="0" w:line="180" w:lineRule="exact"/>
        <w:rPr>
          <w:sz w:val="20"/>
          <w:szCs w:val="20"/>
          <w:color w:val="auto"/>
        </w:rPr>
      </w:pPr>
    </w:p>
    <w:p>
      <w:pPr>
        <w:ind w:right="900"/>
        <w:spacing w:after="0" w:line="258" w:lineRule="auto"/>
        <w:rPr>
          <w:sz w:val="20"/>
          <w:szCs w:val="20"/>
          <w:color w:val="auto"/>
        </w:rPr>
      </w:pPr>
      <w:r>
        <w:rPr>
          <w:rFonts w:ascii="Times New Roman" w:cs="Times New Roman" w:eastAsia="Times New Roman" w:hAnsi="Times New Roman"/>
          <w:sz w:val="22"/>
          <w:szCs w:val="22"/>
          <w:color w:val="auto"/>
        </w:rPr>
        <w:t>CTNT's October 27 ownership table reports that several incumbent independent directors own no Class A shares. Stock ownership is not a proxy for qualifications only when management finds it convenient.</w:t>
      </w:r>
    </w:p>
    <w:p>
      <w:pPr>
        <w:spacing w:after="0" w:line="158"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 xml:space="preserve">We have disclosed that, if successful, we intend to seek reimbursement of reasonable solicitation expenses, subject to applicable law and fiduciary obligations, without assurance of approval. CTNT's own filing states that </w:t>
      </w:r>
      <w:r>
        <w:rPr>
          <w:rFonts w:ascii="Times New Roman" w:cs="Times New Roman" w:eastAsia="Times New Roman" w:hAnsi="Times New Roman"/>
          <w:sz w:val="22"/>
          <w:szCs w:val="22"/>
          <w:b w:val="1"/>
          <w:bCs w:val="1"/>
          <w:color w:val="auto"/>
        </w:rPr>
        <w:t>the Company will bear the expense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of its consent-revocation solicitation</w:t>
      </w:r>
      <w:r>
        <w:rPr>
          <w:rFonts w:ascii="Times New Roman" w:cs="Times New Roman" w:eastAsia="Times New Roman" w:hAnsi="Times New Roman"/>
          <w:sz w:val="22"/>
          <w:szCs w:val="22"/>
          <w:color w:val="auto"/>
        </w:rPr>
        <w:t>, including legal, printing, mailing, and related litigation expenses.</w:t>
      </w:r>
    </w:p>
    <w:p>
      <w:pPr>
        <w:sectPr>
          <w:pgSz w:w="11900" w:h="16906" w:orient="portrait"/>
          <w:cols w:equalWidth="0" w:num="1">
            <w:col w:w="11240"/>
          </w:cols>
          <w:pgMar w:left="320" w:top="108" w:right="339" w:bottom="0" w:gutter="0" w:footer="0" w:header="0"/>
        </w:sectPr>
      </w:pPr>
    </w:p>
    <w:bookmarkStart w:id="4" w:name="page5"/>
    <w:bookmarkEnd w:id="4"/>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Shareholders deserve transparency about the costs incurred by both sides, who authorized the expenditures, and the basis for treating them as corporate expenses. ONE STANDARD FOR EVERYONE.</w:t>
      </w:r>
    </w:p>
    <w:p>
      <w:pPr>
        <w:spacing w:after="0" w:line="150" w:lineRule="exact"/>
        <w:rPr>
          <w:sz w:val="20"/>
          <w:szCs w:val="20"/>
          <w:color w:val="auto"/>
        </w:rPr>
      </w:pPr>
    </w:p>
    <w:p>
      <w:pPr>
        <w:ind w:right="1340" w:firstLine="8"/>
        <w:spacing w:after="0" w:line="262" w:lineRule="auto"/>
        <w:tabs>
          <w:tab w:leader="none" w:pos="216"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OUR PRIORITY IS A BOARD ACCOUNTABLE FOR THE COMPANY'S PERFORMANCE AND ITS STOCKHOLDERS.</w:t>
      </w:r>
    </w:p>
    <w:p>
      <w:pPr>
        <w:spacing w:after="0" w:line="1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1"/>
          <w:szCs w:val="21"/>
          <w:color w:val="auto"/>
        </w:rPr>
        <w:t>Our October 20 definitive consent solicitation statement identifies review of financial oversight, internal controls, management, receivable recovery, capital allocation, and Nasdaq compliance among our priorities. The statement also discusses certain possible governance measures for a future Board to evaluate; it does not represent that all such measures have been adopted.</w:t>
      </w:r>
    </w:p>
    <w:p>
      <w:pPr>
        <w:spacing w:after="0" w:line="15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Any replacement Board would have to carry out its responsibilities under Delaware law, observe applicable Nasdaq independence and committee requirements, and evaluate company records before making decisions. Directors oversee the business for the corporation and its stockholders; individual stockholders do not directly authorize every company expenditure.</w:t>
      </w:r>
    </w:p>
    <w:p>
      <w:pPr>
        <w:spacing w:after="0" w:line="1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21"/>
          <w:szCs w:val="21"/>
          <w:b w:val="1"/>
          <w:bCs w:val="1"/>
          <w:color w:val="auto"/>
        </w:rPr>
        <w:t>We are seeking stronger accountability, meaningful shareholder communication, and an opportunity for shareholders to choose who represents them. The Company's money and governance are not management's private entitlement.</w:t>
      </w:r>
    </w:p>
    <w:p>
      <w:pPr>
        <w:spacing w:after="0" w:line="130"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A change of directors through a lawful written-consent process is a mechanism of corporate accountability. It is not, merely because incumbents oppose it, an attack on the Company.</w:t>
      </w:r>
    </w:p>
    <w:p>
      <w:pPr>
        <w:spacing w:after="0" w:line="15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Whether you are a long-term investor, a recent buyer, a retail holder, or an institution, we ask you to evaluate the same issues: Is the Board exercising independent judgment? Are shareholders receiving meaningful disclosure? Are capital and voting decisions being made for proper corporate purposes? Your investment deserves answers.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PROTECT YOUR CHOICE: UNDERSTAND THE WHITE REVOCATION CARDS.</w:t>
      </w:r>
    </w:p>
    <w:p>
      <w:pPr>
        <w:spacing w:after="0" w:line="206"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21"/>
          <w:szCs w:val="21"/>
          <w:color w:val="auto"/>
        </w:rPr>
        <w:t xml:space="preserve">In its October 27 </w:t>
      </w:r>
      <w:r>
        <w:rPr>
          <w:rFonts w:ascii="Times New Roman" w:cs="Times New Roman" w:eastAsia="Times New Roman" w:hAnsi="Times New Roman"/>
          <w:sz w:val="21"/>
          <w:szCs w:val="21"/>
          <w:b w:val="1"/>
          <w:bCs w:val="1"/>
          <w:color w:val="auto"/>
        </w:rPr>
        <w:t>preliminary</w:t>
      </w:r>
      <w:r>
        <w:rPr>
          <w:rFonts w:ascii="Times New Roman" w:cs="Times New Roman" w:eastAsia="Times New Roman" w:hAnsi="Times New Roman"/>
          <w:sz w:val="21"/>
          <w:szCs w:val="21"/>
          <w:color w:val="auto"/>
        </w:rPr>
        <w:t xml:space="preserve"> consent revocation statement, CTNT asks stockholders to return proposed WHITE consent revocation cards. This preliminary filing does not itself establish that cards have been mailed. The Company explains that a signed WHITE revocation card can revoke a previously delivered consent, subject to the card's terms and applicable law.</w:t>
      </w:r>
    </w:p>
    <w:p>
      <w:pPr>
        <w:spacing w:after="0" w:line="151"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WARNING: CTNT'S PROPOSED WHITE CARD SAYS THAT SIGNING AND DATING IT WITHOUT CHECKING ANY BOX WILL REVOKE PREVIOUSLY DELIVERED CONSENTS TO ALL THREE PROPOSALS. </w:t>
      </w:r>
      <w:r>
        <w:rPr>
          <w:rFonts w:ascii="Times New Roman" w:cs="Times New Roman" w:eastAsia="Times New Roman" w:hAnsi="Times New Roman"/>
          <w:sz w:val="22"/>
          <w:szCs w:val="22"/>
          <w:color w:val="auto"/>
        </w:rPr>
        <w:t>Under CTNT's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instructions, marking </w:t>
      </w:r>
      <w:r>
        <w:rPr>
          <w:rFonts w:ascii="Times New Roman" w:cs="Times New Roman" w:eastAsia="Times New Roman" w:hAnsi="Times New Roman"/>
          <w:sz w:val="22"/>
          <w:szCs w:val="22"/>
          <w:b w:val="1"/>
          <w:bCs w:val="1"/>
          <w:color w:val="auto"/>
        </w:rPr>
        <w:t>"ABSTAIN"</w:t>
      </w:r>
      <w:r>
        <w:rPr>
          <w:rFonts w:ascii="Times New Roman" w:cs="Times New Roman" w:eastAsia="Times New Roman" w:hAnsi="Times New Roman"/>
          <w:sz w:val="22"/>
          <w:szCs w:val="22"/>
          <w:color w:val="auto"/>
        </w:rPr>
        <w:t xml:space="preserve"> also revokes any earlier consent on that proposal. </w:t>
      </w:r>
      <w:r>
        <w:rPr>
          <w:rFonts w:ascii="Times New Roman" w:cs="Times New Roman" w:eastAsia="Times New Roman" w:hAnsi="Times New Roman"/>
          <w:sz w:val="22"/>
          <w:szCs w:val="22"/>
          <w:b w:val="1"/>
          <w:bCs w:val="1"/>
          <w:color w:val="auto"/>
        </w:rPr>
        <w:t>A SIGNED, UNMARKED WHITE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CARD IS NOT NEUTRAL.</w:t>
      </w:r>
    </w:p>
    <w:p>
      <w:pPr>
        <w:spacing w:after="0" w:line="17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2"/>
          <w:szCs w:val="22"/>
          <w:b w:val="1"/>
          <w:bCs w:val="1"/>
          <w:color w:val="auto"/>
        </w:rPr>
        <w:t>IF YOU SUPPORT TAKEOVER TIME'S PROPOSALS, DO NOT SIGN, DATE, OR RETURN ANY WHITE CONSENT REVOCATION CARD FROM CTNT - EVEN IF YOU LEAVE EVERY BOX BLANK. DO NOT RETURN CTNT'S WHITE CARD TO SHOW SUPPORT FOR TAKEOVER TIME.</w:t>
      </w:r>
    </w:p>
    <w:p>
      <w:pPr>
        <w:spacing w:after="0" w:line="16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22"/>
          <w:szCs w:val="22"/>
          <w:color w:val="auto"/>
        </w:rPr>
        <w:t xml:space="preserve">These are instructions from CTNT's </w:t>
      </w:r>
      <w:r>
        <w:rPr>
          <w:rFonts w:ascii="Times New Roman" w:cs="Times New Roman" w:eastAsia="Times New Roman" w:hAnsi="Times New Roman"/>
          <w:sz w:val="22"/>
          <w:szCs w:val="22"/>
          <w:b w:val="1"/>
          <w:bCs w:val="1"/>
          <w:color w:val="auto"/>
        </w:rPr>
        <w:t>October 27 preliminary</w:t>
      </w:r>
      <w:r>
        <w:rPr>
          <w:rFonts w:ascii="Times New Roman" w:cs="Times New Roman" w:eastAsia="Times New Roman" w:hAnsi="Times New Roman"/>
          <w:sz w:val="22"/>
          <w:szCs w:val="22"/>
          <w:color w:val="auto"/>
        </w:rPr>
        <w:t xml:space="preserve"> filing. A holder who has not previously consented has no earlier consent to revoke. Shareholders retain the right to choose and change instructions under applicable procedures.</w:t>
      </w:r>
    </w:p>
    <w:p>
      <w:pPr>
        <w:spacing w:after="0" w:line="150" w:lineRule="exact"/>
        <w:rPr>
          <w:sz w:val="20"/>
          <w:szCs w:val="20"/>
          <w:color w:val="auto"/>
        </w:rPr>
      </w:pPr>
    </w:p>
    <w:p>
      <w:pPr>
        <w:ind w:right="680"/>
        <w:spacing w:after="0" w:line="262" w:lineRule="auto"/>
        <w:rPr>
          <w:sz w:val="20"/>
          <w:szCs w:val="20"/>
          <w:color w:val="auto"/>
        </w:rPr>
      </w:pPr>
      <w:r>
        <w:rPr>
          <w:rFonts w:ascii="Times New Roman" w:cs="Times New Roman" w:eastAsia="Times New Roman" w:hAnsi="Times New Roman"/>
          <w:sz w:val="22"/>
          <w:szCs w:val="22"/>
          <w:color w:val="auto"/>
        </w:rPr>
        <w:t xml:space="preserve">Where do I personally believe an unwanted WHITE revocation card belongs? </w:t>
      </w:r>
      <w:r>
        <w:rPr>
          <w:rFonts w:ascii="Times New Roman" w:cs="Times New Roman" w:eastAsia="Times New Roman" w:hAnsi="Times New Roman"/>
          <w:sz w:val="22"/>
          <w:szCs w:val="22"/>
          <w:b w:val="1"/>
          <w:bCs w:val="1"/>
          <w:color w:val="auto"/>
        </w:rPr>
        <w:t>HERE'S A HINT: THE BLUE BUCKET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LABELED RECYCLING.</w:t>
      </w:r>
    </w:p>
    <w:p>
      <w:pPr>
        <w:spacing w:after="0" w:line="154" w:lineRule="exact"/>
        <w:rPr>
          <w:sz w:val="20"/>
          <w:szCs w:val="20"/>
          <w:color w:val="auto"/>
        </w:rPr>
      </w:pPr>
    </w:p>
    <w:p>
      <w:pPr>
        <w:jc w:val="both"/>
        <w:ind w:right="340"/>
        <w:spacing w:after="0" w:line="244" w:lineRule="auto"/>
        <w:rPr>
          <w:sz w:val="20"/>
          <w:szCs w:val="20"/>
          <w:color w:val="auto"/>
        </w:rPr>
      </w:pPr>
      <w:r>
        <w:rPr>
          <w:rFonts w:ascii="Times New Roman" w:cs="Times New Roman" w:eastAsia="Times New Roman" w:hAnsi="Times New Roman"/>
          <w:sz w:val="22"/>
          <w:szCs w:val="22"/>
          <w:color w:val="auto"/>
        </w:rPr>
        <w:t xml:space="preserve">And just as I believe an unwanted revocation card belongs in recycling, I believe the incumbent Board's tenure belongs in the past. </w:t>
      </w:r>
      <w:r>
        <w:rPr>
          <w:rFonts w:ascii="Times New Roman" w:cs="Times New Roman" w:eastAsia="Times New Roman" w:hAnsi="Times New Roman"/>
          <w:sz w:val="22"/>
          <w:szCs w:val="22"/>
          <w:b w:val="1"/>
          <w:bCs w:val="1"/>
          <w:color w:val="auto"/>
        </w:rPr>
        <w:t>We intend to pursue that result through lawful stockholder consents - not through additional insider super-voting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purchases.</w:t>
      </w:r>
    </w:p>
    <w:p>
      <w:pPr>
        <w:spacing w:after="0" w:line="169"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22"/>
          <w:szCs w:val="22"/>
          <w:b w:val="1"/>
          <w:bCs w:val="1"/>
          <w:color w:val="auto"/>
        </w:rPr>
        <w:t>CTNT urges stockholders to sign, date, and promptly return its WHITE consent revocation card. TAKEOVER TIME URGES THE OPPOSITE.</w:t>
      </w:r>
    </w:p>
    <w:p>
      <w:pPr>
        <w:spacing w:after="0" w:line="150" w:lineRule="exact"/>
        <w:rPr>
          <w:sz w:val="20"/>
          <w:szCs w:val="20"/>
          <w:color w:val="auto"/>
        </w:rPr>
      </w:pPr>
    </w:p>
    <w:p>
      <w:pPr>
        <w:ind w:right="5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IF YOU SUPPORT TAKEOVER TIME'S PROPOSALS, </w:t>
      </w:r>
      <w:r>
        <w:rPr>
          <w:rFonts w:ascii="Times New Roman" w:cs="Times New Roman" w:eastAsia="Times New Roman" w:hAnsi="Times New Roman"/>
          <w:sz w:val="22"/>
          <w:szCs w:val="22"/>
          <w:b w:val="1"/>
          <w:bCs w:val="1"/>
          <w:u w:val="single" w:color="auto"/>
          <w:color w:val="auto"/>
        </w:rPr>
        <w:t>SIGN, DATE, AND PROMPTLY RETURN</w:t>
      </w:r>
      <w:r>
        <w:rPr>
          <w:rFonts w:ascii="Times New Roman" w:cs="Times New Roman" w:eastAsia="Times New Roman" w:hAnsi="Times New Roman"/>
          <w:sz w:val="22"/>
          <w:szCs w:val="22"/>
          <w:b w:val="1"/>
          <w:bCs w:val="1"/>
          <w:color w:val="auto"/>
        </w:rPr>
        <w:t xml:space="preserve"> THE GREEN CONSENT CARD OR GREEN BROKER VOTING INSTRUCTION FORM, AS APPLICABLE, WHEN YOU RECEIVE IT.</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Follow the accompanying instructions carefully. Institutional holders may be able to give instructions through ProxyEdge. If you have already submitted a valid consent, this communication does not itself require you to submit another one.</w:t>
      </w:r>
    </w:p>
    <w:p>
      <w:pPr>
        <w:spacing w:after="0" w:line="15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WHITE </w:t>
      </w:r>
      <w:r>
        <w:rPr>
          <w:rFonts w:ascii="Times New Roman" w:cs="Times New Roman" w:eastAsia="Times New Roman" w:hAnsi="Times New Roman"/>
          <w:sz w:val="22"/>
          <w:szCs w:val="22"/>
          <w:color w:val="auto"/>
        </w:rPr>
        <w:t>is CTNT's proposed revocation card.</w:t>
      </w:r>
      <w:r>
        <w:rPr>
          <w:rFonts w:ascii="Times New Roman" w:cs="Times New Roman" w:eastAsia="Times New Roman" w:hAnsi="Times New Roman"/>
          <w:sz w:val="22"/>
          <w:szCs w:val="22"/>
          <w:b w:val="1"/>
          <w:bCs w:val="1"/>
          <w:color w:val="auto"/>
        </w:rPr>
        <w:t xml:space="preserve"> GREEN </w:t>
      </w:r>
      <w:r>
        <w:rPr>
          <w:rFonts w:ascii="Times New Roman" w:cs="Times New Roman" w:eastAsia="Times New Roman" w:hAnsi="Times New Roman"/>
          <w:sz w:val="22"/>
          <w:szCs w:val="22"/>
          <w:color w:val="auto"/>
        </w:rPr>
        <w:t>is Takeover Time's consent card. Shareholders remain free to make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 decisions and to change valid instructions under applicable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DECISION ABOUT YOUR CONSENT BELONGS TO YOU, THE STOCKHOLDER.</w:t>
      </w:r>
    </w:p>
    <w:p>
      <w:pPr>
        <w:spacing w:after="0" w:line="20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22"/>
          <w:szCs w:val="22"/>
          <w:b w:val="1"/>
          <w:bCs w:val="1"/>
          <w:color w:val="auto"/>
        </w:rPr>
        <w:t>Management cannot lecture shareholders about control while demanding that they overlook a transaction that returned its CEO to majority voting power during a disclosed board-replacement effort.</w:t>
      </w:r>
    </w:p>
    <w:p>
      <w:pPr>
        <w:spacing w:after="0" w:line="154" w:lineRule="exact"/>
        <w:rPr>
          <w:sz w:val="20"/>
          <w:szCs w:val="20"/>
          <w:color w:val="auto"/>
        </w:rPr>
      </w:pPr>
    </w:p>
    <w:p>
      <w:pPr>
        <w:ind w:right="800"/>
        <w:spacing w:after="0" w:line="258" w:lineRule="auto"/>
        <w:rPr>
          <w:sz w:val="20"/>
          <w:szCs w:val="20"/>
          <w:color w:val="auto"/>
        </w:rPr>
      </w:pPr>
      <w:r>
        <w:rPr>
          <w:rFonts w:ascii="Times New Roman" w:cs="Times New Roman" w:eastAsia="Times New Roman" w:hAnsi="Times New Roman"/>
          <w:sz w:val="22"/>
          <w:szCs w:val="22"/>
          <w:color w:val="auto"/>
        </w:rPr>
        <w:t>It cannot demand accountability from everyone else while treating explanations of its own conduct as a substitute for the supporting evidence.</w:t>
      </w:r>
    </w:p>
    <w:p>
      <w:pPr>
        <w:sectPr>
          <w:pgSz w:w="11900" w:h="16838" w:orient="portrait"/>
          <w:cols w:equalWidth="0" w:num="1">
            <w:col w:w="11240"/>
          </w:cols>
          <w:pgMar w:left="320" w:top="108"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THE DECISION ABOUT WHO SHOULD REPRESENT STOCKHOLDERS BELONGS TO STOCKHOLDERS.</w:t>
      </w:r>
    </w:p>
    <w:p>
      <w:pPr>
        <w:spacing w:after="0" w:line="207"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22"/>
          <w:szCs w:val="22"/>
          <w:b w:val="1"/>
          <w:bCs w:val="1"/>
          <w:color w:val="auto"/>
        </w:rPr>
        <w:t>TO EVERY CTNT STOCKHOLDER: YOUR SHARES REPRESENT AN INVESTMENT THAT DESERVES RESPECT. READ THE FILINGS. ASK HARD QUESTIONS. UNDERSTAND THE VOTING RIGHTS ATTACHED TO YOUR SHARES. THEN MAKE YOUR OWN INFORMED CHOICE.</w:t>
      </w:r>
    </w:p>
    <w:p>
      <w:pPr>
        <w:spacing w:after="0" w:line="16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Directors are entrusted with governing the corporation. They are not entitled to treat stockholder questions or a lawful stockholder consent campaign as an inconvenience. Management and the Board should be accountable for their conduct-- not the other way around.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TAKEOVER TIME 2026 LLC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Natasha Yuryevna Ovsepyan, Managing Member</w:t>
      </w:r>
    </w:p>
    <w:sectPr>
      <w:pgSz w:w="11900" w:h="16838" w:orient="portrait"/>
      <w:cols w:equalWidth="0" w:num="1">
        <w:col w:w="11220"/>
      </w:cols>
      <w:pgMar w:left="320" w:top="1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hyperlink" Target="https://www.sec.gov/Archives/edgar/data/1951667/000210778826000015/ctntdefc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2026-10-28T15:36:42Z</dcterms:created>
  <dcterms:modified xsi:type="dcterms:W3CDTF">2026-10-28T15:36:42Z</dcterms:modified>
</cp:coreProperties>
</file>