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CHEETAH NET SUPPLY CHAIN SERVICE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Huan Liu</w:t>
              <w:br/>
              <w:t xml:space="preserve">8707 Research Drive, </w:t>
              <w:br/>
              <w:t>Irvine, CA, 92618</w:t>
              <w:br/>
              <w:t>(949) 740-7799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Huan Liu</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101,340.00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101,340.00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101,358.00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and Row 9: On October 9, 2026, the Issuer closed a private placement transaction with the Reporting Person, pursuant to which the Reporting Person purchased 100,000 shares of the Issuer's Class B common stock, par value $0.0001 per share, at a purchase price of $3.30 per share. Immediately prior to the transaction, the Reporting Person directly held 1,340 shares of the Issuer's Class B common stock. Accordingly, the Reporting Person directly holds 101,340 shares of the Issuer's Class B common stock as of the date hereof. Note to Row 8 and Row 10: Represents 18 shares of the Issuer's Class A common stock issuable to FAIRVIEW EASTERN INTERNATIONAL HOLDINGS LIMITED upon conversion of 18 shares of Class B common stock held by FAIRVIEW EASTERN INTERNATIONAL HOLDINGS LIMITED as of the date hereof. The Reporting Person is the sole shareholder of FAIRVIEW EASTERN INTERNATIONAL HOLDINGS LIMITED. Accordingly, the Reporting Person may be deemed to beneficially own the securities of the Issuer held by FAIRVIEW EASTERN INTERNATIONAL HOLDINGS LIMITED. Note to Row 13: The percentage of class is calculated based on 1,332,087 shares of Class A common stock outstanding as of October 9, 2026, as provided by the Issuer to the Reporting Person. Pursuant to Rule 13d-3(d)(1) under the Securities Exchange Act of 1934, as amended, the denominator of this percentage is the sum of (i) 1,332,087 shares of Class A common stock outstanding as of October 9, 2026, (ii) 18 shares of Class A common stock issuable to FAIRVIEW EASTERN INTERNATIONAL HOLDINGS LIMITED upon conversion of its 18 shares of Class B common stock, (iii) 1,340 shares of Class A common stock issuable to the Reporting Person upon conversion of the 1,340 shares of Class B common stock held by the Reporting Person immediately prior to the October 9, 2026 private placement, and (iv) 100,000 shares of Class A common stock issuable to the Reporting Person upon conversion of the 100,000 shares of Class B common stock acquired in the October 9, 2026 private placement.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CHEETAH NET SUPPLY CHAIN SERVICE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8707 Research Drive, Irvine, CALIFORNIA , 92618.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Item 1 of the Schedule 13D is hereby amended and restated to reflect the new CUSIP number assigned to the Issuer's Class A common stock in connection with the September 2026 Reverse Stock Split (as defined in Item 4 below).</w:t>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0"/>
              <w:jc w:val="left"/>
              <w:rPr/>
            </w:pPr>
            <w:r>
              <w:rPr/>
              <w:t>This Amendment is being filed by Mr. Huan Liu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0"/>
              <w:jc w:val="left"/>
              <w:rPr/>
            </w:pPr>
            <w:r>
              <w:rPr/>
              <w:t>The business address of Huan Liu is 8707 Research Drive, Irvine, California 92618.</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0"/>
              <w:jc w:val="left"/>
              <w:rPr/>
            </w:pPr>
            <w:r>
              <w:rPr/>
              <w:t>Huan Liu is the Chief Executive Officer, Interim Chief Financial Officer, Director, and Chairman of the Board of Directors of the Issuer.</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0"/>
              <w:jc w:val="left"/>
              <w:rPr/>
            </w:pPr>
            <w:r>
              <w:rPr/>
              <w:t>During the past five years, Huan Liu has never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0"/>
              <w:jc w:val="left"/>
              <w:rPr/>
            </w:pPr>
            <w:r>
              <w:rPr/>
              <w:t>During the past five years, Huan Liu has never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0"/>
              <w:jc w:val="left"/>
              <w:rPr/>
            </w:pPr>
            <w:r>
              <w:rPr/>
              <w:t>Huan Liu is a citizen of the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PF, $330,000. The Reporting Person used personal funds to purchase the 100,000 shares of Class B common stock described in this Amendment.</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Item 4 of the Schedule 13D is hereby amended and restated as follows: Prior to the 1-for-200 reverse stock split of the Issuer's common stock that became effective on April 20, 2026 (the "April 2026 Reverse Stock Split"), Huan Liu, Chief Executive Officer, Interim Chief Financial Officer, Director, and Chairman of the Board of Directors of the Issuer, beneficially owned shares of the Issuer's Class A common stock issuable upon conversion of shares of Class B common stock held directly by him and by FAIRVIEW EASTERN INTERNATIONAL HOLDINGS LIMITED, of which the Reporting Person is the sole shareholder. The Reporting Person's prior acquisitions, including the stock awards granted in 2024 and 2025 and the June 15, 2026 private placement, are described in Amendment No. 3 to this Schedule 13D filed on June 17, 2026 and are incorporated herein by reference. Following the April 2026 Reverse Stock Split and the June 15, 2026 private placement, the Reporting Person directly held 200,877 shares of Class B common stock and FAIRVIEW EASTERN INTERNATIONAL HOLDINGS LIMITED held 2,579 shares of Class B common stock. On September 21, 2026, the Issuer effected a 1-for-150 reverse stock split of its Class A common stock and Class B common stock (the "September 2026 Reverse Stock Split"), which became market effective on September 28, 2026. No fractional shares were issued in connection with the September 2026 Reverse Stock Split, and fractional shares were rounded up to the nearest whole share at the participant level. Following the September 2026 Reverse Stock Split and adjustment for the treatment of fractional shares, immediately prior to the transaction described below, the Reporting Person directly held 1,340 shares of Class B common stock and FAIRVIEW EASTERN INTERNATIONAL HOLDINGS LIMITED held 18 shares of Class B common stock. On October 7, 2026, the Issuer entered into a Securities Purchase Agreement (the "Purchase Agreement") with the Reporting Person pursuant to which the Issuer agreed to issue and sell to the Reporting Person 100,000 shares of Class B common stock at a purchase price of $3.30 per share, for an aggregate purchase price of $330,000. The transaction closed on October 9, 2026. The Reporting Person used personal funds and acquired the shares for investment purposes. The information set forth on the cover page of this Amendment is hereby incorporated by reference into this Item 4. Except as set forth in this Item 4, the Reporting Person has no plans or proposals that relate to or would result in any of the matters described in Items 4(a) through 4(j) of Schedule 13D.</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0"/>
              <w:jc w:val="left"/>
              <w:rPr/>
            </w:pPr>
            <w:r>
              <w:rPr/>
              <w:t>The Reporting Person beneficially owns an aggregate of 101,358 shares of Class A common stock, consisting of 101,340 shares of Class A common stock issuable upon conversion of 101,340 shares of Class B common stock directly held by the Reporting Person and 18 shares of Class A common stock issuable upon conversion of 18 shares of Class B common stock held by FAIRVIEW EASTERN INTERNATIONAL HOLDINGS LIMITED. Such shares represent approximately 7.1% of the Class A common stock. The percentage of class is calculated based on 1,332,087 shares of Class A common stock outstanding as of October 9, 2026, as provided by the Issuer to the Reporting Person, and in accordance with Rule 13d-3(d)(1) under the Securities Exchange Act of 1934, as amended.</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0"/>
              <w:jc w:val="left"/>
              <w:rPr/>
            </w:pPr>
            <w:r>
              <w:rPr/>
              <w:t>The Reporting Person has sole voting and dispositive power over 101,340 shares of Class B common stock of the Issuer. The Reporting Person has shared voting and dispositive power over 18 shares of Class B common stock held by FAIRVIEW EASTERN INTERNATIONAL HOLDINGS LIMITED, a British Virgin Islands company, which is 100% owned by the Reporting Person. The registered address of FAIRVIEW EASTERN INTERNATIONAL HOLDINGS LIMITED is Vistra Corporate Services Center, Wickhams Cay II, Road Town, Tortola, VG1110, the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0"/>
              <w:jc w:val="left"/>
              <w:rPr/>
            </w:pPr>
            <w:r>
              <w:rPr/>
              <w:t>On October 9, 2026, the Reporting Person purchased 100,000 shares of Class B common stock directly from the Issuer in a private placement at a purchase price of $3.30 per share, for an aggregate purchase price of $330,000. Other than as described herein, the Reporting Person has not effected any transactions in the Issuer's securities during the 60 days preceding the date of this Amendment.</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On October 7, 2026, the Issuer and the Reporting Person entered into the Purchase Agreement, pursuant to which the Issuer agreed to issue and sell to the Reporting Person 100,000 shares of Class B common stock at a purchase price of $3.30 per share, for aggregate gross proceeds of $330,000. The transaction closed on October 9, 2026. The foregoing description is qualified in its entirety by reference to the Purchase Agreement, which is incorporated by reference as described in Item 7.</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Securities Purchase Agreement, dated October 7, 2026, by and between Cheetah Net Supply Chain Service Inc. and Huan Liu, incorporated by reference to Exhibit 10.1 to the Issuer's Current Report on Form 8-K filed with the Securities and Exchange Commission on October 9,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384" w:type="dxa"/>
        <w:jc w:val="left"/>
        <w:tblInd w:w="0" w:type="dxa"/>
        <w:tblLayout w:type="fixed"/>
        <w:tblCellMar>
          <w:top w:w="28" w:type="dxa"/>
          <w:left w:w="28" w:type="dxa"/>
          <w:bottom w:w="28" w:type="dxa"/>
          <w:right w:w="28" w:type="dxa"/>
        </w:tblCellMar>
      </w:tblPr>
      <w:tblGrid>
        <w:gridCol w:w="1192"/>
        <w:gridCol w:w="1192"/>
      </w:tblGrid>
      <w:tr>
        <w:trPr/>
        <w:tc>
          <w:tcPr>
            <w:tcW w:w="1192" w:type="dxa"/>
            <w:tcBorders/>
            <w:vAlign w:val="center"/>
          </w:tcPr>
          <w:p>
            <w:pPr>
              <w:pStyle w:val="TableContents"/>
              <w:bidi w:val="0"/>
              <w:spacing w:before="0" w:after="0"/>
              <w:jc w:val="left"/>
              <w:rPr/>
            </w:pPr>
            <w:r>
              <w:rPr/>
              <w:t> </w:t>
            </w:r>
          </w:p>
          <w:tbl>
            <w:tblPr>
              <w:tblW w:w="1081" w:type="dxa"/>
              <w:jc w:val="left"/>
              <w:tblInd w:w="0" w:type="dxa"/>
              <w:tblLayout w:type="fixed"/>
              <w:tblCellMar>
                <w:top w:w="28" w:type="dxa"/>
                <w:left w:w="28" w:type="dxa"/>
                <w:bottom w:w="28" w:type="dxa"/>
                <w:right w:w="28" w:type="dxa"/>
              </w:tblCellMar>
            </w:tblPr>
            <w:tblGrid>
              <w:gridCol w:w="1081"/>
            </w:tblGrid>
            <w:tr>
              <w:trPr/>
              <w:tc>
                <w:tcPr>
                  <w:tcW w:w="1081" w:type="dxa"/>
                  <w:tcBorders/>
                  <w:vAlign w:val="center"/>
                </w:tcPr>
                <w:p>
                  <w:pPr>
                    <w:pStyle w:val="TableContents"/>
                    <w:bidi w:val="0"/>
                    <w:spacing w:before="0" w:after="0"/>
                    <w:jc w:val="left"/>
                    <w:rPr/>
                  </w:pPr>
                  <w:r>
                    <w:rPr/>
                    <w:t>Huan Liu</w:t>
                  </w:r>
                </w:p>
              </w:tc>
            </w:tr>
          </w:tbl>
          <w:p>
            <w:pPr>
              <w:pStyle w:val="TableContents"/>
              <w:bidi w:val="0"/>
              <w:spacing w:before="0" w:after="283"/>
              <w:jc w:val="left"/>
              <w:rPr/>
            </w:pPr>
            <w:r>
              <w:rPr/>
            </w:r>
          </w:p>
        </w:tc>
        <w:tc>
          <w:tcPr>
            <w:tcW w:w="1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4"/>
        <w:gridCol w:w="4501"/>
      </w:tblGrid>
      <w:tr>
        <w:trPr/>
        <w:tc>
          <w:tcPr>
            <w:tcW w:w="57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Huan Liu</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Huan Liu</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5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1825</Words>
  <Characters>9345</Characters>
  <CharactersWithSpaces>11103</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