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tm2623100d1_8k.htm"/>
      <w:bookmarkStart w:id="1" w:name="kstm2623100d1_8k"/>
      <w:bookmarkEnd w:id="0"/>
      <w:bookmarkEnd w:id="1"/>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4_edei--DocumentType_c20260813__20"/>
      <w:bookmarkEnd w:id="2"/>
      <w:r>
        <w:rPr>
          <w:rFonts w:ascii="Times New Roman;Times;Serif" w:hAnsi="Times New Roman;Times;Serif"/>
          <w:b/>
          <w:i w:val="false"/>
          <w:caps w:val="false"/>
          <w:smallCaps w:val="false"/>
          <w:sz w:val="20"/>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caps/>
        </w:rPr>
      </w:pPr>
      <w:r>
        <w:rPr>
          <w:caps/>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4_edei--DocumentPeriodEndDate_c202"/>
      <w:bookmarkEnd w:id="3"/>
      <w:r>
        <w:rPr>
          <w:rFonts w:ascii="Times New Roman;Times;Serif" w:hAnsi="Times New Roman;Times;Serif"/>
          <w:b w:val="false"/>
          <w:i w:val="false"/>
          <w:caps w:val="false"/>
          <w:smallCaps w:val="false"/>
          <w:sz w:val="20"/>
        </w:rPr>
        <w:t>August 13,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u w:val="single"/>
        </w:rPr>
      </w:pPr>
      <w:bookmarkStart w:id="4" w:name="xdx_902_edei--EntityRegistrantName_c2026"/>
      <w:bookmarkEnd w:id="4"/>
      <w:r>
        <w:rPr>
          <w:rFonts w:ascii="Times New Roman;Times;Serif" w:hAnsi="Times New Roman;Times;Serif"/>
          <w:b/>
          <w:i w:val="false"/>
          <w:caps w:val="false"/>
          <w:smallCaps w:val="false"/>
          <w:sz w:val="28"/>
          <w:u w:val="single"/>
        </w:rPr>
        <w:t>Cheetah Net Supply Chain Service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6030" w:type="dxa"/>
        <w:jc w:val="left"/>
        <w:tblInd w:w="0" w:type="dxa"/>
        <w:tblLayout w:type="fixed"/>
        <w:tblCellMar>
          <w:top w:w="0" w:type="dxa"/>
          <w:left w:w="0" w:type="dxa"/>
          <w:bottom w:w="28" w:type="dxa"/>
          <w:right w:w="0" w:type="dxa"/>
        </w:tblCellMar>
      </w:tblPr>
      <w:tblGrid>
        <w:gridCol w:w="2165"/>
        <w:gridCol w:w="60"/>
        <w:gridCol w:w="2210"/>
        <w:gridCol w:w="60"/>
        <w:gridCol w:w="1535"/>
      </w:tblGrid>
      <w:tr>
        <w:trPr/>
        <w:tc>
          <w:tcPr>
            <w:tcW w:w="2165" w:type="dxa"/>
            <w:tcBorders>
              <w:bottom w:val="single" w:sz="8" w:space="0" w:color="000000"/>
            </w:tcBorders>
            <w:vAlign w:val="center"/>
          </w:tcPr>
          <w:p>
            <w:pPr>
              <w:pStyle w:val="TableContents"/>
              <w:bidi w:val="0"/>
              <w:spacing w:before="0" w:after="283"/>
              <w:jc w:val="center"/>
              <w:rPr>
                <w:b/>
                <w:sz w:val="20"/>
              </w:rPr>
            </w:pPr>
            <w:bookmarkStart w:id="5" w:name="xdx_905_edei--EntityIncorporationStateCo"/>
            <w:bookmarkEnd w:id="5"/>
            <w:r>
              <w:rPr>
                <w:b/>
                <w:sz w:val="20"/>
              </w:rPr>
              <w:t>Delaware</w:t>
            </w:r>
          </w:p>
        </w:tc>
        <w:tc>
          <w:tcPr>
            <w:tcW w:w="60" w:type="dxa"/>
            <w:tcBorders/>
            <w:tcMar>
              <w:bottom w:w="0" w:type="dxa"/>
            </w:tcMar>
            <w:vAlign w:val="center"/>
          </w:tcPr>
          <w:p>
            <w:pPr>
              <w:pStyle w:val="TableContents"/>
              <w:bidi w:val="0"/>
              <w:spacing w:before="0" w:after="283"/>
              <w:jc w:val="left"/>
              <w:rPr/>
            </w:pPr>
            <w:r>
              <w:rPr/>
              <w:t> </w:t>
            </w:r>
          </w:p>
        </w:tc>
        <w:tc>
          <w:tcPr>
            <w:tcW w:w="2210" w:type="dxa"/>
            <w:tcBorders>
              <w:bottom w:val="single" w:sz="8" w:space="0" w:color="000000"/>
            </w:tcBorders>
            <w:vAlign w:val="center"/>
          </w:tcPr>
          <w:p>
            <w:pPr>
              <w:pStyle w:val="TableContents"/>
              <w:bidi w:val="0"/>
              <w:spacing w:before="0" w:after="283"/>
              <w:jc w:val="center"/>
              <w:rPr>
                <w:b/>
                <w:sz w:val="20"/>
              </w:rPr>
            </w:pPr>
            <w:bookmarkStart w:id="6" w:name="xdx_90E_edei--EntityFileNumber_c20260813"/>
            <w:bookmarkEnd w:id="6"/>
            <w:r>
              <w:rPr>
                <w:b/>
                <w:sz w:val="20"/>
              </w:rPr>
              <w:t>001-41761</w:t>
            </w:r>
          </w:p>
        </w:tc>
        <w:tc>
          <w:tcPr>
            <w:tcW w:w="60" w:type="dxa"/>
            <w:tcBorders/>
            <w:tcMar>
              <w:bottom w:w="0" w:type="dxa"/>
            </w:tcMar>
            <w:vAlign w:val="center"/>
          </w:tcPr>
          <w:p>
            <w:pPr>
              <w:pStyle w:val="TableContents"/>
              <w:bidi w:val="0"/>
              <w:spacing w:before="0" w:after="283"/>
              <w:jc w:val="left"/>
              <w:rPr/>
            </w:pPr>
            <w:r>
              <w:rPr/>
              <w:t> </w:t>
            </w:r>
          </w:p>
        </w:tc>
        <w:tc>
          <w:tcPr>
            <w:tcW w:w="1535" w:type="dxa"/>
            <w:tcBorders>
              <w:bottom w:val="single" w:sz="8" w:space="0" w:color="000000"/>
            </w:tcBorders>
            <w:vAlign w:val="center"/>
          </w:tcPr>
          <w:p>
            <w:pPr>
              <w:pStyle w:val="TableContents"/>
              <w:bidi w:val="0"/>
              <w:spacing w:before="0" w:after="283"/>
              <w:jc w:val="center"/>
              <w:rPr>
                <w:b/>
                <w:sz w:val="20"/>
              </w:rPr>
            </w:pPr>
            <w:bookmarkStart w:id="7" w:name="xdx_901_edei--EntityTaxIdentificationNum"/>
            <w:bookmarkEnd w:id="7"/>
            <w:r>
              <w:rPr>
                <w:b/>
                <w:sz w:val="20"/>
              </w:rPr>
              <w:t>81-3509120</w:t>
            </w:r>
          </w:p>
        </w:tc>
      </w:tr>
      <w:tr>
        <w:trPr/>
        <w:tc>
          <w:tcPr>
            <w:tcW w:w="2165" w:type="dxa"/>
            <w:tcBorders/>
            <w:tcMar>
              <w:bottom w:w="0" w:type="dxa"/>
            </w:tcMar>
            <w:vAlign w:val="center"/>
          </w:tcPr>
          <w:p>
            <w:pPr>
              <w:pStyle w:val="TableContents"/>
              <w:bidi w:val="0"/>
              <w:spacing w:before="0" w:after="283"/>
              <w:jc w:val="center"/>
              <w:rPr>
                <w:sz w:val="20"/>
              </w:rPr>
            </w:pPr>
            <w:r>
              <w:rPr>
                <w:sz w:val="20"/>
              </w:rPr>
              <w:t>(State or other jurisdiction</w:t>
              <w:br/>
              <w:t>of incorporation)</w:t>
            </w:r>
          </w:p>
        </w:tc>
        <w:tc>
          <w:tcPr>
            <w:tcW w:w="60" w:type="dxa"/>
            <w:tcBorders/>
            <w:tcMar>
              <w:bottom w:w="0" w:type="dxa"/>
            </w:tcMar>
            <w:vAlign w:val="center"/>
          </w:tcPr>
          <w:p>
            <w:pPr>
              <w:pStyle w:val="TableContents"/>
              <w:bidi w:val="0"/>
              <w:spacing w:before="0" w:after="283"/>
              <w:jc w:val="center"/>
              <w:rPr/>
            </w:pPr>
            <w:r>
              <w:rPr/>
              <w:t> </w:t>
            </w:r>
          </w:p>
        </w:tc>
        <w:tc>
          <w:tcPr>
            <w:tcW w:w="2210" w:type="dxa"/>
            <w:tcBorders/>
            <w:tcMar>
              <w:bottom w:w="0" w:type="dxa"/>
            </w:tcMar>
            <w:vAlign w:val="center"/>
          </w:tcPr>
          <w:p>
            <w:pPr>
              <w:pStyle w:val="TableContents"/>
              <w:bidi w:val="0"/>
              <w:spacing w:before="0" w:after="283"/>
              <w:jc w:val="center"/>
              <w:rPr>
                <w:sz w:val="20"/>
              </w:rPr>
            </w:pPr>
            <w:r>
              <w:rPr>
                <w:sz w:val="20"/>
              </w:rPr>
              <w:t>(Commission File Number)</w:t>
            </w:r>
          </w:p>
        </w:tc>
        <w:tc>
          <w:tcPr>
            <w:tcW w:w="60" w:type="dxa"/>
            <w:tcBorders/>
            <w:tcMar>
              <w:bottom w:w="0" w:type="dxa"/>
            </w:tcMar>
            <w:vAlign w:val="center"/>
          </w:tcPr>
          <w:p>
            <w:pPr>
              <w:pStyle w:val="TableContents"/>
              <w:bidi w:val="0"/>
              <w:spacing w:before="0" w:after="283"/>
              <w:jc w:val="center"/>
              <w:rPr/>
            </w:pPr>
            <w:r>
              <w:rPr/>
              <w:t> </w:t>
            </w:r>
          </w:p>
        </w:tc>
        <w:tc>
          <w:tcPr>
            <w:tcW w:w="1535" w:type="dxa"/>
            <w:tcBorders/>
            <w:tcMar>
              <w:bottom w:w="0" w:type="dxa"/>
            </w:tcMar>
            <w:vAlign w:val="center"/>
          </w:tcPr>
          <w:p>
            <w:pPr>
              <w:pStyle w:val="TableContents"/>
              <w:bidi w:val="0"/>
              <w:spacing w:before="0" w:after="283"/>
              <w:jc w:val="center"/>
              <w:rPr>
                <w:sz w:val="20"/>
              </w:rPr>
            </w:pPr>
            <w:r>
              <w:rPr>
                <w:sz w:val="20"/>
              </w:rPr>
              <w:t>(IRS Employer</w:t>
              <w:b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195" w:type="dxa"/>
        <w:jc w:val="left"/>
        <w:tblInd w:w="0" w:type="dxa"/>
        <w:tblLayout w:type="fixed"/>
        <w:tblCellMar>
          <w:top w:w="0" w:type="dxa"/>
          <w:left w:w="0" w:type="dxa"/>
          <w:bottom w:w="28" w:type="dxa"/>
          <w:right w:w="0" w:type="dxa"/>
        </w:tblCellMar>
      </w:tblPr>
      <w:tblGrid>
        <w:gridCol w:w="3215"/>
        <w:gridCol w:w="60"/>
        <w:gridCol w:w="920"/>
      </w:tblGrid>
      <w:tr>
        <w:trPr/>
        <w:tc>
          <w:tcPr>
            <w:tcW w:w="321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8" w:name="xdx_90D_edei--EntityAddressAddressLine1_"/>
            <w:bookmarkEnd w:id="8"/>
            <w:r>
              <w:rPr>
                <w:rFonts w:ascii="Times New Roman;Times;Serif" w:hAnsi="Times New Roman;Times;Serif"/>
                <w:b/>
                <w:i w:val="false"/>
                <w:caps w:val="false"/>
                <w:smallCaps w:val="false"/>
                <w:sz w:val="20"/>
              </w:rPr>
              <w:t>8707 Research Drive,</w:t>
              <w:br/>
            </w:r>
            <w:bookmarkStart w:id="9" w:name="xdx_904_edei--EntityAddressCityOrTown_c2"/>
            <w:bookmarkEnd w:id="9"/>
            <w:r>
              <w:rPr>
                <w:rFonts w:ascii="Times New Roman;Times;Serif" w:hAnsi="Times New Roman;Times;Serif"/>
                <w:b/>
                <w:i w:val="false"/>
                <w:caps w:val="false"/>
                <w:smallCaps w:val="false"/>
                <w:sz w:val="20"/>
              </w:rPr>
              <w:t xml:space="preserve">Irvine, </w:t>
            </w:r>
            <w:bookmarkStart w:id="10" w:name="xdx_90E_edei--EntityAddressStateOrProvin"/>
            <w:bookmarkEnd w:id="10"/>
            <w:r>
              <w:rPr>
                <w:rFonts w:ascii="Times New Roman;Times;Serif" w:hAnsi="Times New Roman;Times;Serif"/>
                <w:b/>
                <w:i w:val="false"/>
                <w:caps w:val="false"/>
                <w:smallCaps w:val="false"/>
                <w:sz w:val="20"/>
              </w:rPr>
              <w:t xml:space="preserve">California </w:t>
            </w:r>
          </w:p>
        </w:tc>
        <w:tc>
          <w:tcPr>
            <w:tcW w:w="60" w:type="dxa"/>
            <w:tcBorders/>
            <w:tcMar>
              <w:bottom w:w="0" w:type="dxa"/>
            </w:tcMar>
            <w:vAlign w:val="center"/>
          </w:tcPr>
          <w:p>
            <w:pPr>
              <w:pStyle w:val="TableContents"/>
              <w:bidi w:val="0"/>
              <w:spacing w:before="0" w:after="283"/>
              <w:jc w:val="left"/>
              <w:rPr/>
            </w:pPr>
            <w:r>
              <w:rPr/>
              <w:t> </w:t>
            </w:r>
          </w:p>
        </w:tc>
        <w:tc>
          <w:tcPr>
            <w:tcW w:w="920" w:type="dxa"/>
            <w:tcBorders>
              <w:bottom w:val="single" w:sz="8" w:space="0" w:color="000000"/>
            </w:tcBorders>
            <w:vAlign w:val="center"/>
          </w:tcPr>
          <w:p>
            <w:pPr>
              <w:pStyle w:val="TableContents"/>
              <w:bidi w:val="0"/>
              <w:spacing w:before="0" w:after="283"/>
              <w:jc w:val="center"/>
              <w:rPr>
                <w:b/>
                <w:sz w:val="20"/>
              </w:rPr>
            </w:pPr>
            <w:bookmarkStart w:id="11" w:name="xdx_906_edei--EntityAddressPostalZipCode"/>
            <w:bookmarkEnd w:id="11"/>
            <w:r>
              <w:rPr>
                <w:b/>
                <w:sz w:val="20"/>
              </w:rPr>
              <w:t>92618</w:t>
            </w:r>
          </w:p>
        </w:tc>
      </w:tr>
      <w:tr>
        <w:trPr/>
        <w:tc>
          <w:tcPr>
            <w:tcW w:w="3215" w:type="dxa"/>
            <w:tcBorders/>
            <w:tcMar>
              <w:bottom w:w="0" w:type="dxa"/>
            </w:tcMar>
            <w:vAlign w:val="center"/>
          </w:tcPr>
          <w:p>
            <w:pPr>
              <w:pStyle w:val="TableContents"/>
              <w:bidi w:val="0"/>
              <w:spacing w:before="0" w:after="283"/>
              <w:jc w:val="center"/>
              <w:rPr>
                <w:sz w:val="20"/>
              </w:rPr>
            </w:pPr>
            <w:r>
              <w:rPr>
                <w:sz w:val="20"/>
              </w:rPr>
              <w:t>(Address of principal executive offices)</w:t>
            </w:r>
          </w:p>
        </w:tc>
        <w:tc>
          <w:tcPr>
            <w:tcW w:w="60" w:type="dxa"/>
            <w:tcBorders/>
            <w:tcMar>
              <w:bottom w:w="0" w:type="dxa"/>
            </w:tcMar>
            <w:vAlign w:val="center"/>
          </w:tcPr>
          <w:p>
            <w:pPr>
              <w:pStyle w:val="TableContents"/>
              <w:bidi w:val="0"/>
              <w:spacing w:before="0" w:after="283"/>
              <w:jc w:val="left"/>
              <w:rPr/>
            </w:pPr>
            <w:r>
              <w:rPr/>
              <w:t> </w:t>
            </w:r>
          </w:p>
        </w:tc>
        <w:tc>
          <w:tcPr>
            <w:tcW w:w="920" w:type="dxa"/>
            <w:tcBorders/>
            <w:tcMar>
              <w:bottom w:w="0" w:type="dxa"/>
            </w:tcMar>
            <w:vAlign w:val="center"/>
          </w:tcPr>
          <w:p>
            <w:pPr>
              <w:pStyle w:val="TableContents"/>
              <w:bidi w:val="0"/>
              <w:spacing w:before="0" w:after="283"/>
              <w:jc w:val="center"/>
              <w:rPr>
                <w:sz w:val="20"/>
              </w:rPr>
            </w:pPr>
            <w:r>
              <w:rPr>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 (</w:t>
      </w:r>
      <w:bookmarkStart w:id="12" w:name="xdx_90E_edei--CityAreaCode_c20260813__20"/>
      <w:bookmarkEnd w:id="12"/>
      <w:r>
        <w:rPr>
          <w:rFonts w:ascii="Times New Roman;Times;Serif" w:hAnsi="Times New Roman;Times;Serif"/>
          <w:b w:val="false"/>
          <w:i w:val="false"/>
          <w:caps w:val="false"/>
          <w:smallCaps w:val="false"/>
          <w:sz w:val="20"/>
        </w:rPr>
        <w:t xml:space="preserve">949) </w:t>
      </w:r>
      <w:bookmarkStart w:id="13" w:name="xdx_902_edei--LocalPhoneNumber_c20260813"/>
      <w:bookmarkEnd w:id="13"/>
      <w:r>
        <w:rPr>
          <w:rFonts w:ascii="Times New Roman;Times;Serif" w:hAnsi="Times New Roman;Times;Serif"/>
          <w:b w:val="false"/>
          <w:i w:val="false"/>
          <w:caps w:val="false"/>
          <w:smallCaps w:val="false"/>
          <w:sz w:val="20"/>
        </w:rPr>
        <w:t>740-7799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both"/>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bookmarkStart w:id="14" w:name="xdx_901_edei--WrittenCommunications_c202"/>
            <w:bookmarkEnd w:id="14"/>
            <w:r>
              <w:rPr/>
              <w:t>☐</w:t>
            </w:r>
          </w:p>
        </w:tc>
        <w:tc>
          <w:tcPr>
            <w:tcW w:w="7295" w:type="dxa"/>
            <w:tcBorders/>
            <w:vAlign w:val="center"/>
          </w:tcPr>
          <w:p>
            <w:pPr>
              <w:pStyle w:val="TableContents"/>
              <w:bidi w:val="0"/>
              <w:spacing w:before="0" w:after="283"/>
              <w:jc w:val="both"/>
              <w:rPr>
                <w:sz w:val="20"/>
              </w:rPr>
            </w:pPr>
            <w:r>
              <w:rPr>
                <w:sz w:val="20"/>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bookmarkStart w:id="15" w:name="xdx_901_edei--SolicitingMaterial_c202608"/>
            <w:bookmarkEnd w:id="15"/>
            <w:r>
              <w:rPr/>
              <w:t>☐</w:t>
            </w:r>
          </w:p>
        </w:tc>
        <w:tc>
          <w:tcPr>
            <w:tcW w:w="7325" w:type="dxa"/>
            <w:tcBorders/>
            <w:vAlign w:val="center"/>
          </w:tcPr>
          <w:p>
            <w:pPr>
              <w:pStyle w:val="TableContents"/>
              <w:bidi w:val="0"/>
              <w:spacing w:before="0" w:after="283"/>
              <w:jc w:val="both"/>
              <w:rPr>
                <w:sz w:val="20"/>
              </w:rPr>
            </w:pPr>
            <w:r>
              <w:rPr>
                <w:sz w:val="20"/>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6" w:name="xdx_90C_edei--PreCommencementTenderOffer"/>
            <w:bookmarkEnd w:id="16"/>
            <w:r>
              <w:rPr/>
              <w:t>☐</w:t>
            </w:r>
          </w:p>
        </w:tc>
        <w:tc>
          <w:tcPr>
            <w:tcW w:w="9065"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bookmarkStart w:id="17" w:name="xdx_909_edei--PreCommencementIssuerTende"/>
            <w:bookmarkEnd w:id="17"/>
            <w:r>
              <w:rPr/>
              <w:t>☐</w:t>
            </w:r>
          </w:p>
        </w:tc>
        <w:tc>
          <w:tcPr>
            <w:tcW w:w="9005"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both"/>
        <w:rPr>
          <w:caps w:val="false"/>
          <w:smallCaps w:val="false"/>
        </w:rPr>
      </w:pPr>
      <w:r>
        <w:rPr>
          <w:caps w:val="false"/>
          <w:smallCaps w:val="false"/>
        </w:rPr>
        <w:t> </w:t>
      </w:r>
    </w:p>
    <w:tbl>
      <w:tblPr>
        <w:tblW w:w="6540" w:type="dxa"/>
        <w:jc w:val="left"/>
        <w:tblInd w:w="0" w:type="dxa"/>
        <w:tblLayout w:type="fixed"/>
        <w:tblCellMar>
          <w:top w:w="0" w:type="dxa"/>
          <w:left w:w="0" w:type="dxa"/>
          <w:bottom w:w="28" w:type="dxa"/>
          <w:right w:w="0" w:type="dxa"/>
        </w:tblCellMar>
      </w:tblPr>
      <w:tblGrid>
        <w:gridCol w:w="1955"/>
        <w:gridCol w:w="60"/>
        <w:gridCol w:w="1610"/>
        <w:gridCol w:w="60"/>
        <w:gridCol w:w="2855"/>
      </w:tblGrid>
      <w:tr>
        <w:trPr/>
        <w:tc>
          <w:tcPr>
            <w:tcW w:w="1955" w:type="dxa"/>
            <w:tcBorders>
              <w:bottom w:val="single" w:sz="8" w:space="0" w:color="000000"/>
            </w:tcBorders>
            <w:vAlign w:val="center"/>
          </w:tcPr>
          <w:p>
            <w:pPr>
              <w:pStyle w:val="TableContents"/>
              <w:bidi w:val="0"/>
              <w:spacing w:before="0" w:after="283"/>
              <w:jc w:val="center"/>
              <w:rPr>
                <w:b/>
                <w:sz w:val="20"/>
              </w:rPr>
            </w:pPr>
            <w:r>
              <w:rPr>
                <w:b/>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610" w:type="dxa"/>
            <w:tcBorders>
              <w:bottom w:val="single" w:sz="8" w:space="0" w:color="000000"/>
            </w:tcBorders>
            <w:vAlign w:val="center"/>
          </w:tcPr>
          <w:p>
            <w:pPr>
              <w:pStyle w:val="TableContents"/>
              <w:bidi w:val="0"/>
              <w:spacing w:before="0" w:after="283"/>
              <w:jc w:val="center"/>
              <w:rPr>
                <w:b/>
                <w:sz w:val="20"/>
              </w:rPr>
            </w:pPr>
            <w:r>
              <w:rPr>
                <w:b/>
                <w:sz w:val="20"/>
              </w:rPr>
              <w:t>Trading Symbol(s)</w:t>
            </w:r>
          </w:p>
        </w:tc>
        <w:tc>
          <w:tcPr>
            <w:tcW w:w="60" w:type="dxa"/>
            <w:tcBorders/>
            <w:tcMar>
              <w:bottom w:w="0" w:type="dxa"/>
            </w:tcMar>
            <w:vAlign w:val="center"/>
          </w:tcPr>
          <w:p>
            <w:pPr>
              <w:pStyle w:val="TableContents"/>
              <w:bidi w:val="0"/>
              <w:spacing w:before="0" w:after="283"/>
              <w:jc w:val="left"/>
              <w:rPr/>
            </w:pPr>
            <w:r>
              <w:rPr/>
              <w:t> </w:t>
            </w:r>
          </w:p>
        </w:tc>
        <w:tc>
          <w:tcPr>
            <w:tcW w:w="2855" w:type="dxa"/>
            <w:tcBorders>
              <w:bottom w:val="single" w:sz="8" w:space="0" w:color="000000"/>
            </w:tcBorders>
            <w:vAlign w:val="center"/>
          </w:tcPr>
          <w:p>
            <w:pPr>
              <w:pStyle w:val="TableContents"/>
              <w:bidi w:val="0"/>
              <w:spacing w:before="0" w:after="283"/>
              <w:jc w:val="center"/>
              <w:rPr>
                <w:b/>
                <w:sz w:val="20"/>
              </w:rPr>
            </w:pPr>
            <w:r>
              <w:rPr>
                <w:b/>
                <w:sz w:val="20"/>
              </w:rPr>
              <w:t xml:space="preserve">Name of each exchange on which </w:t>
              <w:br/>
              <w:t>registered</w:t>
            </w:r>
          </w:p>
        </w:tc>
      </w:tr>
      <w:tr>
        <w:trPr/>
        <w:tc>
          <w:tcPr>
            <w:tcW w:w="1955" w:type="dxa"/>
            <w:tcBorders/>
            <w:shd w:fill="CCEEFF" w:val="clear"/>
            <w:tcMar>
              <w:bottom w:w="0" w:type="dxa"/>
            </w:tcMar>
            <w:vAlign w:val="center"/>
          </w:tcPr>
          <w:p>
            <w:pPr>
              <w:pStyle w:val="TableContents"/>
              <w:bidi w:val="0"/>
              <w:spacing w:before="0" w:after="283"/>
              <w:jc w:val="center"/>
              <w:rPr>
                <w:sz w:val="20"/>
              </w:rPr>
            </w:pPr>
            <w:bookmarkStart w:id="18" w:name="xdx_902_edei--Security12bTitle_c20260813"/>
            <w:bookmarkEnd w:id="18"/>
            <w:r>
              <w:rPr>
                <w:sz w:val="20"/>
              </w:rPr>
              <w:t>Class A Common Stock</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10" w:type="dxa"/>
            <w:tcBorders/>
            <w:shd w:fill="CCEEFF" w:val="clear"/>
            <w:tcMar>
              <w:bottom w:w="0" w:type="dxa"/>
            </w:tcMar>
            <w:vAlign w:val="center"/>
          </w:tcPr>
          <w:p>
            <w:pPr>
              <w:pStyle w:val="TableContents"/>
              <w:bidi w:val="0"/>
              <w:spacing w:before="0" w:after="283"/>
              <w:jc w:val="center"/>
              <w:rPr>
                <w:sz w:val="20"/>
              </w:rPr>
            </w:pPr>
            <w:bookmarkStart w:id="19" w:name="xdx_904_edei--TradingSymbol_c20260813__2"/>
            <w:bookmarkEnd w:id="19"/>
            <w:r>
              <w:rPr>
                <w:sz w:val="20"/>
              </w:rPr>
              <w:t>CTNT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55" w:type="dxa"/>
            <w:tcBorders/>
            <w:shd w:fill="CCEEFF" w:val="clear"/>
            <w:tcMar>
              <w:bottom w:w="0" w:type="dxa"/>
            </w:tcMar>
            <w:vAlign w:val="center"/>
          </w:tcPr>
          <w:p>
            <w:pPr>
              <w:pStyle w:val="TableContents"/>
              <w:bidi w:val="0"/>
              <w:spacing w:before="0" w:after="283"/>
              <w:jc w:val="center"/>
              <w:rPr>
                <w:sz w:val="20"/>
              </w:rPr>
            </w:pPr>
            <w:bookmarkStart w:id="20" w:name="xdx_904_edei--SecurityExchangeName_c2026"/>
            <w:bookmarkEnd w:id="20"/>
            <w:r>
              <w:rPr>
                <w:sz w:val="20"/>
              </w:rPr>
              <w:t>The Nasdaq Stock Market LLC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2_edei--EntityEmergingGrowthCompan"/>
      <w:bookmarkEnd w:id="21"/>
      <w:r>
        <w:rPr>
          <w:rFonts w:ascii="Wingdings" w:hAnsi="Wingdings"/>
          <w:b w:val="false"/>
          <w:i w:val="false"/>
          <w:caps w:val="false"/>
          <w:smallCaps w:val="false"/>
          <w:sz w:val="20"/>
        </w:rPr>
        <w:t>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2" w:name="xdx_908_edei--EntityExTransitionPeriod_c"/>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2.02 Results of Operations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13, 2026, Cheetah Net Supply Chain Service Inc. issued a press release announcing its financial results for the second quarter of 2026. The press release is furnished as Exhibit 99.1 to this Current Report on Form 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Press Release contains certain business updates and forward-looking statements regarding the Company’s expectations, plans and prospects. The information in this Item 2.02 and Exhibit 99.1 hereto is being furnished and shall not be deemed “filed” for purposes of Section 18 of the Securities Exchange Act of 1934, as amended (the “Exchange Act”), or otherwise subject to the liabilities of that section, nor shall such information be deemed incorporated by reference in any filing under the Securities Act of 1933, as amended, or the Exchange Act, except as shall be expressly set forth by specific reference in such a filing.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7540" w:type="dxa"/>
        <w:jc w:val="left"/>
        <w:tblInd w:w="0" w:type="dxa"/>
        <w:tblLayout w:type="fixed"/>
        <w:tblCellMar>
          <w:top w:w="0" w:type="dxa"/>
          <w:left w:w="0" w:type="dxa"/>
          <w:bottom w:w="28" w:type="dxa"/>
          <w:right w:w="0" w:type="dxa"/>
        </w:tblCellMar>
      </w:tblPr>
      <w:tblGrid>
        <w:gridCol w:w="995"/>
        <w:gridCol w:w="60"/>
        <w:gridCol w:w="6485"/>
      </w:tblGrid>
      <w:tr>
        <w:trPr/>
        <w:tc>
          <w:tcPr>
            <w:tcW w:w="995" w:type="dxa"/>
            <w:tcBorders>
              <w:bottom w:val="single" w:sz="8" w:space="0" w:color="000000"/>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Exhibit No.</w:t>
            </w:r>
          </w:p>
        </w:tc>
        <w:tc>
          <w:tcPr>
            <w:tcW w:w="60" w:type="dxa"/>
            <w:tcBorders/>
            <w:tcMar>
              <w:bottom w:w="0" w:type="dxa"/>
            </w:tcMar>
            <w:vAlign w:val="center"/>
          </w:tcPr>
          <w:p>
            <w:pPr>
              <w:pStyle w:val="TableContents"/>
              <w:bidi w:val="0"/>
              <w:spacing w:before="0" w:after="283"/>
              <w:jc w:val="both"/>
              <w:rPr/>
            </w:pPr>
            <w:r>
              <w:rPr/>
              <w:t> </w:t>
            </w:r>
          </w:p>
        </w:tc>
        <w:tc>
          <w:tcPr>
            <w:tcW w:w="6485" w:type="dxa"/>
            <w:tcBorders>
              <w:bottom w:val="single" w:sz="8" w:space="0" w:color="000000"/>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Description</w:t>
            </w:r>
          </w:p>
        </w:tc>
      </w:tr>
      <w:tr>
        <w:trPr/>
        <w:tc>
          <w:tcPr>
            <w:tcW w:w="995" w:type="dxa"/>
            <w:tcBorders/>
            <w:shd w:fill="CCEEFF" w:val="clear"/>
            <w:tcMar>
              <w:bottom w:w="0" w:type="dxa"/>
            </w:tcMar>
            <w:vAlign w:val="center"/>
          </w:tcPr>
          <w:p>
            <w:pPr>
              <w:pStyle w:val="TableContents"/>
              <w:bidi w:val="0"/>
              <w:spacing w:before="0" w:after="283"/>
              <w:jc w:val="both"/>
              <w:rPr/>
            </w:pPr>
            <w:hyperlink w:anchor="tm2623100d1_ex99-1.htm">
              <w:r>
                <w:rPr>
                  <w:rStyle w:val="InternetLink"/>
                  <w:rFonts w:ascii="Times New Roman;Times;Serif" w:hAnsi="Times New Roman;Times;Serif"/>
                  <w:sz w:val="20"/>
                </w:rPr>
                <w:t>99.1</w:t>
              </w:r>
            </w:hyperlink>
          </w:p>
        </w:tc>
        <w:tc>
          <w:tcPr>
            <w:tcW w:w="60" w:type="dxa"/>
            <w:tcBorders/>
            <w:shd w:fill="CCEEFF" w:val="clear"/>
            <w:tcMar>
              <w:bottom w:w="0" w:type="dxa"/>
            </w:tcMar>
            <w:vAlign w:val="center"/>
          </w:tcPr>
          <w:p>
            <w:pPr>
              <w:pStyle w:val="TableContents"/>
              <w:bidi w:val="0"/>
              <w:spacing w:before="0" w:after="283"/>
              <w:jc w:val="both"/>
              <w:rPr/>
            </w:pPr>
            <w:r>
              <w:rPr/>
              <w:t> </w:t>
            </w:r>
          </w:p>
        </w:tc>
        <w:tc>
          <w:tcPr>
            <w:tcW w:w="6485" w:type="dxa"/>
            <w:tcBorders/>
            <w:shd w:fill="CCEEFF" w:val="clear"/>
            <w:tcMar>
              <w:bottom w:w="0" w:type="dxa"/>
            </w:tcMar>
            <w:vAlign w:val="center"/>
          </w:tcPr>
          <w:p>
            <w:pPr>
              <w:pStyle w:val="TableContents"/>
              <w:bidi w:val="0"/>
              <w:spacing w:before="0" w:after="283"/>
              <w:jc w:val="both"/>
              <w:rPr/>
            </w:pPr>
            <w:hyperlink w:anchor="tm2623100d1_ex99-1.htm">
              <w:r>
                <w:rPr>
                  <w:rStyle w:val="InternetLink"/>
                  <w:rFonts w:ascii="Times New Roman;Times;Serif" w:hAnsi="Times New Roman;Times;Serif"/>
                  <w:sz w:val="20"/>
                </w:rPr>
                <w:t>The Press Release</w:t>
              </w:r>
            </w:hyperlink>
          </w:p>
        </w:tc>
      </w:tr>
      <w:tr>
        <w:trPr/>
        <w:tc>
          <w:tcPr>
            <w:tcW w:w="995"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104</w:t>
            </w:r>
          </w:p>
        </w:tc>
        <w:tc>
          <w:tcPr>
            <w:tcW w:w="60" w:type="dxa"/>
            <w:tcBorders/>
            <w:shd w:fill="FFFFFF" w:val="clear"/>
            <w:tcMar>
              <w:bottom w:w="0" w:type="dxa"/>
            </w:tcMar>
            <w:vAlign w:val="center"/>
          </w:tcPr>
          <w:p>
            <w:pPr>
              <w:pStyle w:val="TableContents"/>
              <w:bidi w:val="0"/>
              <w:spacing w:before="0" w:after="283"/>
              <w:jc w:val="both"/>
              <w:rPr/>
            </w:pPr>
            <w:r>
              <w:rPr/>
              <w:t> </w:t>
            </w:r>
          </w:p>
        </w:tc>
        <w:tc>
          <w:tcPr>
            <w:tcW w:w="6485"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14"/>
        <w:gridCol w:w="317"/>
        <w:gridCol w:w="8074"/>
      </w:tblGrid>
      <w:tr>
        <w:trPr/>
        <w:tc>
          <w:tcPr>
            <w:tcW w:w="1814" w:type="dxa"/>
            <w:tcBorders/>
            <w:vAlign w:val="center"/>
          </w:tcPr>
          <w:p>
            <w:pPr>
              <w:pStyle w:val="TableContents"/>
              <w:bidi w:val="0"/>
              <w:spacing w:before="0" w:after="283"/>
              <w:jc w:val="left"/>
              <w:rPr/>
            </w:pPr>
            <w:r>
              <w:rPr/>
              <w:t> </w:t>
            </w:r>
          </w:p>
        </w:tc>
        <w:tc>
          <w:tcPr>
            <w:tcW w:w="8391"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Cheetah Net Supply Chain Service Inc.</w:t>
            </w:r>
          </w:p>
        </w:tc>
      </w:tr>
      <w:tr>
        <w:trPr/>
        <w:tc>
          <w:tcPr>
            <w:tcW w:w="1814" w:type="dxa"/>
            <w:tcBorders/>
            <w:vAlign w:val="center"/>
          </w:tcPr>
          <w:p>
            <w:pPr>
              <w:pStyle w:val="TableContents"/>
              <w:bidi w:val="0"/>
              <w:spacing w:before="0" w:after="283"/>
              <w:jc w:val="left"/>
              <w:rPr/>
            </w:pPr>
            <w:r>
              <w:rPr/>
              <w:t> </w:t>
            </w:r>
          </w:p>
        </w:tc>
        <w:tc>
          <w:tcPr>
            <w:tcW w:w="317" w:type="dxa"/>
            <w:tcBorders/>
            <w:vAlign w:val="center"/>
          </w:tcPr>
          <w:p>
            <w:pPr>
              <w:pStyle w:val="TableContents"/>
              <w:bidi w:val="0"/>
              <w:spacing w:before="0" w:after="283"/>
              <w:jc w:val="left"/>
              <w:rPr/>
            </w:pPr>
            <w:r>
              <w:rPr/>
              <w:t> </w:t>
            </w:r>
          </w:p>
        </w:tc>
        <w:tc>
          <w:tcPr>
            <w:tcW w:w="8074" w:type="dxa"/>
            <w:tcBorders/>
            <w:vAlign w:val="center"/>
          </w:tcPr>
          <w:p>
            <w:pPr>
              <w:pStyle w:val="TableContents"/>
              <w:bidi w:val="0"/>
              <w:spacing w:before="0" w:after="283"/>
              <w:jc w:val="left"/>
              <w:rPr/>
            </w:pPr>
            <w:r>
              <w:rPr/>
              <w:t> </w:t>
            </w:r>
          </w:p>
        </w:tc>
      </w:tr>
      <w:tr>
        <w:trPr/>
        <w:tc>
          <w:tcPr>
            <w:tcW w:w="181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August 13, 2026</w:t>
            </w:r>
          </w:p>
        </w:tc>
        <w:tc>
          <w:tcPr>
            <w:tcW w:w="31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8074"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i/>
                <w:sz w:val="20"/>
              </w:rPr>
              <w:t>s</w:t>
            </w:r>
            <w:r>
              <w:rPr>
                <w:rFonts w:ascii="Times New Roman;Times;Serif" w:hAnsi="Times New Roman;Times;Serif"/>
                <w:sz w:val="20"/>
              </w:rPr>
              <w:t xml:space="preserve">/ </w:t>
            </w:r>
            <w:r>
              <w:rPr>
                <w:rFonts w:ascii="Times New Roman;Times;Serif" w:hAnsi="Times New Roman;Times;Serif"/>
                <w:i/>
                <w:sz w:val="20"/>
              </w:rPr>
              <w:t>Huan Liu</w:t>
            </w:r>
          </w:p>
        </w:tc>
      </w:tr>
      <w:tr>
        <w:trPr/>
        <w:tc>
          <w:tcPr>
            <w:tcW w:w="1814" w:type="dxa"/>
            <w:tcBorders/>
            <w:vAlign w:val="center"/>
          </w:tcPr>
          <w:p>
            <w:pPr>
              <w:pStyle w:val="TableContents"/>
              <w:bidi w:val="0"/>
              <w:spacing w:before="0" w:after="283"/>
              <w:jc w:val="left"/>
              <w:rPr/>
            </w:pPr>
            <w:r>
              <w:rPr/>
              <w:t> </w:t>
            </w:r>
          </w:p>
        </w:tc>
        <w:tc>
          <w:tcPr>
            <w:tcW w:w="317" w:type="dxa"/>
            <w:tcBorders/>
            <w:vAlign w:val="center"/>
          </w:tcPr>
          <w:p>
            <w:pPr>
              <w:pStyle w:val="TableContents"/>
              <w:bidi w:val="0"/>
              <w:spacing w:before="0" w:after="283"/>
              <w:jc w:val="left"/>
              <w:rPr/>
            </w:pPr>
            <w:r>
              <w:rPr/>
              <w:t> </w:t>
            </w:r>
          </w:p>
        </w:tc>
        <w:tc>
          <w:tcPr>
            <w:tcW w:w="807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Huan Liu</w:t>
            </w:r>
          </w:p>
        </w:tc>
      </w:tr>
      <w:tr>
        <w:trPr/>
        <w:tc>
          <w:tcPr>
            <w:tcW w:w="1814" w:type="dxa"/>
            <w:tcBorders/>
            <w:vAlign w:val="center"/>
          </w:tcPr>
          <w:p>
            <w:pPr>
              <w:pStyle w:val="TableContents"/>
              <w:bidi w:val="0"/>
              <w:spacing w:before="0" w:after="283"/>
              <w:jc w:val="left"/>
              <w:rPr/>
            </w:pPr>
            <w:r>
              <w:rPr/>
              <w:t> </w:t>
            </w:r>
          </w:p>
        </w:tc>
        <w:tc>
          <w:tcPr>
            <w:tcW w:w="317" w:type="dxa"/>
            <w:tcBorders/>
            <w:vAlign w:val="center"/>
          </w:tcPr>
          <w:p>
            <w:pPr>
              <w:pStyle w:val="TableContents"/>
              <w:bidi w:val="0"/>
              <w:spacing w:before="0" w:after="283"/>
              <w:jc w:val="left"/>
              <w:rPr/>
            </w:pPr>
            <w:r>
              <w:rPr/>
              <w:t> </w:t>
            </w:r>
          </w:p>
        </w:tc>
        <w:tc>
          <w:tcPr>
            <w:tcW w:w="807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 Director, and Chairman of the Board of Directors (Principal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3" w:name="tm2623100d1_ex99-1.htm"/>
      <w:bookmarkStart w:id="24" w:name="kstm2623100d1_ex991"/>
      <w:bookmarkEnd w:id="23"/>
      <w:bookmarkEnd w:id="24"/>
      <w:r>
        <w:rPr/>
        <w:t> </w:t>
      </w:r>
      <w:r>
        <w:br w:type="page"/>
      </w:r>
    </w:p>
    <w:p>
      <w:pPr>
        <w:pStyle w:val="TextBody"/>
        <w:bidi w:val="0"/>
        <w:jc w:val="right"/>
        <w:rPr>
          <w:b/>
        </w:rPr>
      </w:pPr>
      <w:r>
        <w:rPr>
          <w:b/>
        </w:rPr>
        <w:t>Exhibit 99.1</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Cheetah Net Supply Chain Service Inc. Announces Second Quarter 2026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IRVINE, Calif. August 13, 2026 (GLOBE NEWSWIRE) – Cheetah Net Supply Chain Service Inc. (“Cheetah” or the “Company”) (Nasdaq CM: CTNT), a provider of logistics and warehousing services and international trading services, today reported results for the quarter ended June 30, 2026 and provided a corporate update.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quarter ended June 30, 2026, the Company reported total revenue of $868,909, compared to $354,126 in the same period in 2025, representing an increase of $514,783, or 145.4%. The Company recorded an operating loss of $881,797 for the quarter ended June 30, 2026, compared to an operating loss of $780,849 in the same period in 2025, representing an increase of $100,948, or 12.9%. The increase was primarily due to an increase of $81,810 in selling, general and administrative expenses compared to the same period in 2025. The Company recognized other income of $954,052 for the quarter ended June 30, 2026, which primarily consisted of foreign exchange gain of $979,277, and interest income of $257,896, partially offset by loss on disposal of Edward of $297,610. After accounting for an income tax provision of $1,210, the Company reported a net income from continuing operations of $71,045, compared to net loss from continuing operations of $512,528 for the same period in 2025, representing an increase of $583,573, or 113.9%.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Tony Liu, Cheetah’s Chairman and CEO commented: “We continued to execute our strategy of diversifying the Company’s business platform. The acquisition of Super International Trading Limited expanded our operations into international trading. At the same time, our logistics and warehousing business continued to face pressure from uncertainty in global trade and changes in cross-border customer demand.”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We also continued to streamline our operating structure and allocate resources toward businesses that we believe offer stronger long-term potential. During the quarter, we completed the disposal of Edward Transit Express Group, Inc. to optimize the Company’s business structure, reduce ongoing operating and management costs, and focus resources on higher-priority opportunities.”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Looking ahead, we will continue to focus on integrating and developing our international trading operations while maintaining financial discipline and improving operational efficiency across the Company. We will continue to evaluate strategic opportunities that complement our existing capabilities, diversify our revenue base, and support sustainable long-term growth.”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Second Quarter 2026 Financial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Continuing operations – logistics and warehousing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June 30, 2026, the Company reported revenue of $nil from its logistics and warehousing services segment, compared to $354,126 for the same period in 2025. The decrease was primarily due to the disposal of Edward and lower revenue from TWEW as a result of tighter U.S. immigration policies, higher labor costs, constrained labor availability, and unfavorable market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also reported cost of revenue of $nil and $319,226 for the three months ended June 30, 2026 and 2025, respectively, representing a decrease of $319,226, or 100.0%, consistent with the corresponding decline in revenue from Edward and TWEW.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 for the three months ended June 30, 2026, was $nil, a decrease of $34,900, or 100.0%, from $34,900 for the three months ended June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for the Company’s continuing operations-logistics and warehousing services segment decreased by $97,409, or 85.7%, to $16,251 for the three months ended June 30, 2026 from $113,660 for the three months ended June 30, 2025. The decrease was mainly due to the disposal of Edward in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8096250" cy="8953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8096250" cy="895350"/>
                    </a:xfrm>
                    <a:prstGeom prst="rect">
                      <a:avLst/>
                    </a:prstGeom>
                  </pic:spPr>
                </pic:pic>
              </a:graphicData>
            </a:graphic>
          </wp:inline>
        </w:drawing>
      </w: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Continuing operations – international trading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June 30, 2026, the Company reported revenue of $868,909 from international trading segment, including $208,909, or 24.0%, of our total revenue from the parent company, Cheetah, and $660,000, or 76.0%, of our total revenue from Super International Trading Limited (“Super International”), which we acquired on May 27, 2026. The increase was primarily due to the expansion of the Company’s international trading business following the acquisition of Super International.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also reported cost of revenue of $849,409 and $nil for the three months ended June 30, 2026 and 2025, respectively, representing an increase of $849,409, including $199,409 attributable to Cheetah, representing 23.5% of total cost of revenues in the second quarter of 2026, and $650,000 attributable to Super International, consistent with the corresponding increase in international trading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 for the three months ended June 30, 2026 was $19,500, an increase of $19,500, from $nil for the three months ended June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for the Company’s continuing operations - international trading segment increased to $20,084 for the three months ended June 30, 2026 from $nil for the three months ended June 30, 2025. The increase was mainly due to the commencement of our international trading operations following the acquisition of Super International on May 27,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Continuing operations – Corporate Unallocated Operating Adjustments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for the Company’s continuing operations- corporate unallocated operating adjustments segment increased by $159,135, or 23.0%, to $850,780 for the three months ended June 30, 2026 from $691,645 for the three months ended June 30, 2025. The increase was mainly due to acquisition and disposal related expenses, legal and accounting fees and travel and entertainment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Share-based compensation expenses were $14,182 and $10,444 for the three months ended June 30, 2026 and 2025, respectively, representing an increase of $3,738, or 35.8%.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income from continuing operations was $264,695 for the three months ended June 30, 2026, compared to $272,228 for the three months ended June 30, 2025, representing a decrease of $7,533 or 2.8%. The decrease was primarily due to a reduction in average outstanding loan balances as certain borrowers repaid a portion of their loans, resulting in lower interest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incurred from our continuing operations was $6,799 for the three months ended June 30, 2026, which decreased by $1,261, or 15.6%, from $8,060 for the three months ended June 30, 2025, mainly due to lower interest incurred on premium finance arrangements.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net from continuing operations was $993,766 for the three months ended June 30, 2026, compared to $17,140 for the three months ended June 30, 2025, representing an increase of $976,626, or 5,697.9%. The increase was primarily driven by higher foreign exchange gains resulting from currency rate fluctuations.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above factors, the Company had a net income of $71,045 from our continuing operations for the three months ended June 30, 2026, compared to a net loss of $512,528 for the same period of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2026 Financial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Continuing operations – logistics and warehousing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June 30, 2026, the Company reported revenue of $92,700 from its logistics and warehousing services segment, compared to $833,925 for the same period in 2025. The decrease was primarily due to the disposal of Edward and lower revenue from TWEW as a result of tighter U.S. immigration policies, higher labor costs, constrained labor availability, and unfavorable market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8096250" cy="9906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8096250" cy="99060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8096250" cy="8953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8096250" cy="895350"/>
                    </a:xfrm>
                    <a:prstGeom prst="rect">
                      <a:avLst/>
                    </a:prstGeom>
                  </pic:spPr>
                </pic:pic>
              </a:graphicData>
            </a:graphic>
          </wp:inline>
        </w:drawing>
      </w: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also reported cost of revenue of $72,833 and $742,769 for the six months ended June 30, 2026 and 2025, respectively, primarily reflecting labor and logistics costs for TWEW and ocean freight service costs incurred by Edward.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 for the six months ended June 30, 2026, was $19,867, a decrease of $71,289, or 78.2%, from $91,156 for the six months ended June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for the Company’s continuing operations-logistics and warehousing services segment decreased by $89,381, or 36.3%, to $156,689 for the six months ended June 30, 2026 from $246,070 for the six months ended June 30, 2025. The decrease was mainly due to lower operating and administrative expenses following the disposal of Edward, as well as ongoing cost control initiatives.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Continuing operations – international trading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June 30, 2026, the Company reported revenue of $868,909 from international trading segment, including $208,909, or 24.0%, of our total revenue from Cheetah and $660,000, or 76.0%, of our total revenue from Super International, which we acquired on May 27, 2026. The increase was primarily due to the expansion of the Company’s international trading business following the acquisition of Super International.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also reported cost of revenue of $849,409 and $nil for the six months ended June 30, 2026 and 2025, respectively, representing an increase of $849,409 including $199,409 attributable to Cheetah and $650,000 attributable to Super International, consistent with the corresponding increase in international trading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 for the six months ended June 30, 2026, was $19,500, an increase of $19,500, or 100.0%, from $nil for the six months ended June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for the Company’s continuing operations-international trading segment increased to $20,084 for the six months ended June 30, 2026 from $nil for the six months ended June 30, 2025. The increase was mainly due to the acquisition of Super International.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Continuing operations – Corporate Unallocated Operating Adjustments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for the Company’s continuing operations- corporate unallocated operating adjustments segment decreased by $79,408, or 5.1%, to $1,480,346 for the six months ended June 30, 2026 from $1,559,754 for the six months ended June 30, 2025. The decrease was mainly due to lower payroll and benefits, legal and accounting fees, rental and lease expenses, and insurance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Share-based compensation expenses were $28,364 and $26,629 for the six months ended June 30, 2026 and 2025, respectively, representing an increase of $1,735, or 6.5%.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income from continuing operations was $415,837 for the six months ended June 30, 2026, compared to $480,318 for the six months ended June 30, 2025, representing a decrease of $64,481 or 13.4%. The decrease was primarily due to a reduction in average outstanding loan balances as certain borrowers repaid a portion of their loans, resulting in lower interest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incurred from our continuing operations was $14,499 for the six months ended June 30, 2026, which decreased by $2,373, or 14.1%, from $16,872 for the six months ended June 30, 2025, mainly due to lower interest incurred on premium finance arrangements.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8096250" cy="9906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8096250" cy="99060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8096250" cy="8953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8096250" cy="895350"/>
                    </a:xfrm>
                    <a:prstGeom prst="rect">
                      <a:avLst/>
                    </a:prstGeom>
                  </pic:spPr>
                </pic:pic>
              </a:graphicData>
            </a:graphic>
          </wp:inline>
        </w:drawing>
      </w: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net from continuing operations was $1,002,778 for the six months ended June 30, 2026, compared to $29,756 for the six months ended June 30, 2025, representing an increase of $973,022, or 3,270.0%. The increase was primarily driven by higher foreign exchange gains resulting from currency rate fluctuations.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above factors, the Company had a net loss of $545,220 from our continuing operations for the six months ended June 30, 2026, compared to a net loss of $1,266,437 for the same period of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Going Concern Considerations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reported a net operating loss of approximately $1.6 million for six months ended June 30, 2026, and net cash used in operating activities of approximately $0.9 million. As the Company has been integrating into newly acquired international trading business and developing to the logistics and warehousing service business, the Company may continue to incur operating losses and generate negative cash flow. These factors raise doubts about the Company’s ability to continue as a going concern.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 Company had cash and cash equivalents of approximately $2.1 million and a working capital balance of $74.1 million. In addition, the Company had receivable from withdrawal of investment of $41.1 million and loan receivable from third parties of approximately $30.0 million, which can be sufficient for the Company to support its ongoing business operations and meet the obligations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has evaluated the Company’s ability to continue as a going concern in accordance with ASC 205-40, Presentation of Financial Statements – Going Concern. This evaluation considered the Company’s current financial condition, expected cash flows, obligations due within the next 12 months, and available sources of liquidity.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working to further improve its liquidity and capital sources primarily by generating cash from operations, pursuing debt financing, and, if needed, seeking financial support from its principal stockholder. If necessary to fully implement its business plan and sustain continued growth, the Company may seek additional equity financing from outside investors. Based on the current operating plan, management believes that the aforementioned measures collectively will provide sufficient liquidity to meet the Company’s liquidity and capital requirements for at least 12 months from the issuance date of its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certain forward-looking statements, including statements that are predictive in nature. Forward-looking statements are based on the Company’s current expectations and assumptions. The Private Securities Litigation Reform Act of 1995 provides a safe harbor for forward-looking statements. These statements may be identified by the use of forward-looking expressions, including, but not limited to, “anticipate,” “believe,” “continue,” “estimate,” “expect,” “future,” “intend,” “may,” “outlook,” “plan,” “potential,” “predict,” “project,” “should,” “will,” “would,” and similar expressions that predict or indicate future events or trends or that are not statements of historical matters, but the absence of these words does not mean that a statement is not forward-looking. The Company undertakes no obligation to publicly update any forward-looking statement, whether as a result of new information, future events or otherwise. Important factors that could cause actual results to differ materially from those in the forward-looking statements are set forth in the Company’s filings with the U.S. Securities and Exchange Commission, including its annual report on Form 10-K, under the caption “Risk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information, please 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Cheetah Net Supply Chain Service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 Relations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(949) 418-7804</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ir@cheetah-net.com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8096250" cy="9906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8096250" cy="99060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8096250" cy="89535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8096250" cy="895350"/>
                    </a:xfrm>
                    <a:prstGeom prst="rect">
                      <a:avLst/>
                    </a:prstGeom>
                  </pic:spPr>
                </pic:pic>
              </a:graphicData>
            </a:graphic>
          </wp:inline>
        </w:drawing>
      </w: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CHEETAH NET SUPPLY CHAIN SERVICE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BALANCE SHEETS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688"/>
        <w:gridCol w:w="60"/>
        <w:gridCol w:w="125"/>
        <w:gridCol w:w="950"/>
        <w:gridCol w:w="80"/>
        <w:gridCol w:w="60"/>
        <w:gridCol w:w="132"/>
        <w:gridCol w:w="1013"/>
        <w:gridCol w:w="97"/>
      </w:tblGrid>
      <w:tr>
        <w:trPr/>
        <w:tc>
          <w:tcPr>
            <w:tcW w:w="768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4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tc>
        <w:tc>
          <w:tcPr>
            <w:tcW w:w="9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68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4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9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688"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1013"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r>
      <w:tr>
        <w:trPr/>
        <w:tc>
          <w:tcPr>
            <w:tcW w:w="7688"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1013"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r>
      <w:tr>
        <w:trPr/>
        <w:tc>
          <w:tcPr>
            <w:tcW w:w="768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2,143,604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233,217</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68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734,162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6,540</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68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Loan receivable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29,951,513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7,430,111</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68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receivables,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960,451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1,157,130</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68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expenses and other current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821,030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238,648</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68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Receivable from withdrawal of investment deposit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41,110,573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3"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688"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CURRENT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75,721,333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3"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9,065,646</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688"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NONCURRENT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1013"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r>
      <w:tr>
        <w:trPr/>
        <w:tc>
          <w:tcPr>
            <w:tcW w:w="768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plant, and equipment,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309,792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358,868</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68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right-of-use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530,929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1,165,517</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68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Intangibles,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505,000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792,571</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68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2,665,654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475,862</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68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Contingent consideration asset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2,783,884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3"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688"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NONCURRENT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6,795,259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2,792,818</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688"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82,516,592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1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11,858,464</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68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1013"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r>
      <w:tr>
        <w:trPr/>
        <w:tc>
          <w:tcPr>
            <w:tcW w:w="7688"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LIABILITIES AND STOCKHOLDERS’ EQUITY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1013"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r>
      <w:tr>
        <w:trPr/>
        <w:tc>
          <w:tcPr>
            <w:tcW w:w="7688"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3"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68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payable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733,426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32,762</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68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portion of long-term debt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37,279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35,902</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68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Loans payable from premium finance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82,650</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68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a related party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9,713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5,204</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68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liabilities, current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502,249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594,407</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68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liabilities and other current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309,823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594,693</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688"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CURRENT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1,592,490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3"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1,345,618</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688"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NONCURRENT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1013"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r>
      <w:tr>
        <w:trPr/>
        <w:tc>
          <w:tcPr>
            <w:tcW w:w="768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Long-term debt, net of current portion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552,570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572,653</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68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liabilities, net of current portion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44,950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584,606</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688"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NONCURRENT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597,520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1,157,259</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688"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2,190,010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1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2,502,877</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68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1013"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r>
      <w:tr>
        <w:trPr/>
        <w:tc>
          <w:tcPr>
            <w:tcW w:w="7688"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COMMITMENTS AND CONTINGENCIES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3"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68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1013"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r>
      <w:tr>
        <w:trPr/>
        <w:tc>
          <w:tcPr>
            <w:tcW w:w="7688"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STOCKHOLDERS’ EQUITY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1013"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ind w:left="0" w:right="0" w:hanging="180"/>
              <w:jc w:val="left"/>
              <w:rPr/>
            </w:pPr>
            <w:r>
              <w:rPr/>
              <w:t> </w:t>
            </w:r>
          </w:p>
        </w:tc>
      </w:tr>
      <w:tr>
        <w:trPr/>
        <w:tc>
          <w:tcPr>
            <w:tcW w:w="768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 $0.0001 par value, 2,200,000,000 and 1,000,000,000 shares authorized; 3,159,391 and 17,096 shares issued and outstanding as of June 30, 2026, and December 31, 2025, respectively, including: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1013"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ind w:left="0" w:right="0" w:hanging="180"/>
              <w:jc w:val="left"/>
              <w:rPr/>
            </w:pPr>
            <w:r>
              <w:rPr/>
              <w:t> </w:t>
            </w:r>
          </w:p>
        </w:tc>
      </w:tr>
      <w:tr>
        <w:trPr/>
        <w:tc>
          <w:tcPr>
            <w:tcW w:w="768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A common stock, $0.0001 par value, 2,000,000,000 and 891,750,000 shares authorized; 2,955,935 and 13,640 shares issued and outstanding as of June 30, 2026, and December 31, 2025, respectively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7"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68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B common stock, $0.0001 par value, 200,000,000 and 108,250,000 shares authorized; 203,456 and 3,456 shares issued and outstanding as of June 30, 2026, and December 31, 2025, respectively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3"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68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paid-in capital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89,201,800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17,685,900</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68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Accumulated deficit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(8,875,534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(8,330,314</w:t>
            </w:r>
          </w:p>
        </w:tc>
        <w:tc>
          <w:tcPr>
            <w:tcW w:w="9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688"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STOCKHOLDERS’ EQUITY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80,326,582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3"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9,355,587</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68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1013"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r>
      <w:tr>
        <w:trPr/>
        <w:tc>
          <w:tcPr>
            <w:tcW w:w="7688"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LIABILITIES AND STOCKHOLDERS’ EQUITY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82,516,592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1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11,858,464</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Retrospectively restated for effect of the Company’s amended and restated articles of incorporation and bylaws and share reverse split on April 20, 2026. See also Note 16.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8096250" cy="9906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8096250" cy="99060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8096250" cy="89535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8096250" cy="895350"/>
                    </a:xfrm>
                    <a:prstGeom prst="rect">
                      <a:avLst/>
                    </a:prstGeom>
                  </pic:spPr>
                </pic:pic>
              </a:graphicData>
            </a:graphic>
          </wp:inline>
        </w:drawing>
      </w: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CHEETAH NET SUPPLY CHAIN SERVICE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OPERATIONS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611"/>
        <w:gridCol w:w="60"/>
        <w:gridCol w:w="166"/>
        <w:gridCol w:w="1126"/>
        <w:gridCol w:w="106"/>
        <w:gridCol w:w="79"/>
        <w:gridCol w:w="198"/>
        <w:gridCol w:w="1006"/>
        <w:gridCol w:w="80"/>
        <w:gridCol w:w="60"/>
        <w:gridCol w:w="148"/>
        <w:gridCol w:w="1076"/>
        <w:gridCol w:w="94"/>
        <w:gridCol w:w="70"/>
        <w:gridCol w:w="148"/>
        <w:gridCol w:w="1076"/>
        <w:gridCol w:w="101"/>
      </w:tblGrid>
      <w:tr>
        <w:trPr/>
        <w:tc>
          <w:tcPr>
            <w:tcW w:w="461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681"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Months Ended June 30,</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612"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Six Months Ended June 30,</w:t>
            </w:r>
          </w:p>
        </w:tc>
        <w:tc>
          <w:tcPr>
            <w:tcW w:w="101"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61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9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106" w:type="dxa"/>
            <w:tcBorders/>
            <w:vAlign w:val="center"/>
          </w:tcPr>
          <w:p>
            <w:pPr>
              <w:pStyle w:val="TableContents"/>
              <w:bidi w:val="0"/>
              <w:spacing w:before="0" w:after="283"/>
              <w:jc w:val="left"/>
              <w:rPr>
                <w:caps w:val="false"/>
                <w:smallCaps w:val="false"/>
              </w:rPr>
            </w:pPr>
            <w:r>
              <w:rPr>
                <w:caps w:val="false"/>
                <w:smallCaps w:val="false"/>
              </w:rPr>
              <w:t> </w:t>
            </w:r>
          </w:p>
        </w:tc>
        <w:tc>
          <w:tcPr>
            <w:tcW w:w="79" w:type="dxa"/>
            <w:tcBorders/>
            <w:vAlign w:val="center"/>
          </w:tcPr>
          <w:p>
            <w:pPr>
              <w:pStyle w:val="TableContents"/>
              <w:bidi w:val="0"/>
              <w:spacing w:before="0" w:after="283"/>
              <w:jc w:val="left"/>
              <w:rPr>
                <w:caps w:val="false"/>
                <w:smallCaps w:val="false"/>
              </w:rPr>
            </w:pPr>
            <w:r>
              <w:rPr>
                <w:caps w:val="false"/>
                <w:smallCaps w:val="false"/>
              </w:rPr>
              <w:t> </w:t>
            </w:r>
          </w:p>
        </w:tc>
        <w:tc>
          <w:tcPr>
            <w:tcW w:w="120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2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94" w:type="dxa"/>
            <w:tcBorders/>
            <w:vAlign w:val="center"/>
          </w:tcPr>
          <w:p>
            <w:pPr>
              <w:pStyle w:val="TableContents"/>
              <w:bidi w:val="0"/>
              <w:spacing w:before="0" w:after="283"/>
              <w:jc w:val="left"/>
              <w:rPr>
                <w:caps w:val="false"/>
                <w:smallCaps w:val="false"/>
              </w:rPr>
            </w:pPr>
            <w:r>
              <w:rPr>
                <w:caps w:val="false"/>
                <w:smallCaps w:val="false"/>
              </w:rPr>
              <w:t> </w:t>
            </w:r>
          </w:p>
        </w:tc>
        <w:tc>
          <w:tcPr>
            <w:tcW w:w="70" w:type="dxa"/>
            <w:tcBorders/>
            <w:vAlign w:val="center"/>
          </w:tcPr>
          <w:p>
            <w:pPr>
              <w:pStyle w:val="TableContents"/>
              <w:bidi w:val="0"/>
              <w:spacing w:before="0" w:after="283"/>
              <w:jc w:val="left"/>
              <w:rPr>
                <w:caps w:val="false"/>
                <w:smallCaps w:val="false"/>
              </w:rPr>
            </w:pPr>
            <w:r>
              <w:rPr>
                <w:caps w:val="false"/>
                <w:smallCaps w:val="false"/>
              </w:rPr>
              <w:t> </w:t>
            </w:r>
          </w:p>
        </w:tc>
        <w:tc>
          <w:tcPr>
            <w:tcW w:w="122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101"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61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9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tc>
        <w:tc>
          <w:tcPr>
            <w:tcW w:w="106" w:type="dxa"/>
            <w:tcBorders/>
            <w:vAlign w:val="center"/>
          </w:tcPr>
          <w:p>
            <w:pPr>
              <w:pStyle w:val="TableContents"/>
              <w:bidi w:val="0"/>
              <w:spacing w:before="0" w:after="283"/>
              <w:jc w:val="left"/>
              <w:rPr>
                <w:caps w:val="false"/>
                <w:smallCaps w:val="false"/>
              </w:rPr>
            </w:pPr>
            <w:r>
              <w:rPr>
                <w:caps w:val="false"/>
                <w:smallCaps w:val="false"/>
              </w:rPr>
              <w:t> </w:t>
            </w:r>
          </w:p>
        </w:tc>
        <w:tc>
          <w:tcPr>
            <w:tcW w:w="79" w:type="dxa"/>
            <w:tcBorders/>
            <w:vAlign w:val="center"/>
          </w:tcPr>
          <w:p>
            <w:pPr>
              <w:pStyle w:val="TableContents"/>
              <w:bidi w:val="0"/>
              <w:spacing w:before="0" w:after="283"/>
              <w:jc w:val="left"/>
              <w:rPr>
                <w:caps w:val="false"/>
                <w:smallCaps w:val="false"/>
              </w:rPr>
            </w:pPr>
            <w:r>
              <w:rPr>
                <w:caps w:val="false"/>
                <w:smallCaps w:val="false"/>
              </w:rPr>
              <w:t> </w:t>
            </w:r>
          </w:p>
        </w:tc>
        <w:tc>
          <w:tcPr>
            <w:tcW w:w="120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2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tc>
        <w:tc>
          <w:tcPr>
            <w:tcW w:w="94" w:type="dxa"/>
            <w:tcBorders/>
            <w:vAlign w:val="center"/>
          </w:tcPr>
          <w:p>
            <w:pPr>
              <w:pStyle w:val="TableContents"/>
              <w:bidi w:val="0"/>
              <w:spacing w:before="0" w:after="283"/>
              <w:jc w:val="left"/>
              <w:rPr>
                <w:caps w:val="false"/>
                <w:smallCaps w:val="false"/>
              </w:rPr>
            </w:pPr>
            <w:r>
              <w:rPr>
                <w:caps w:val="false"/>
                <w:smallCaps w:val="false"/>
              </w:rPr>
              <w:t> </w:t>
            </w:r>
          </w:p>
        </w:tc>
        <w:tc>
          <w:tcPr>
            <w:tcW w:w="70" w:type="dxa"/>
            <w:tcBorders/>
            <w:vAlign w:val="center"/>
          </w:tcPr>
          <w:p>
            <w:pPr>
              <w:pStyle w:val="TableContents"/>
              <w:bidi w:val="0"/>
              <w:spacing w:before="0" w:after="283"/>
              <w:jc w:val="left"/>
              <w:rPr>
                <w:caps w:val="false"/>
                <w:smallCaps w:val="false"/>
              </w:rPr>
            </w:pPr>
            <w:r>
              <w:rPr>
                <w:caps w:val="false"/>
                <w:smallCaps w:val="false"/>
              </w:rPr>
              <w:t> </w:t>
            </w:r>
          </w:p>
        </w:tc>
        <w:tc>
          <w:tcPr>
            <w:tcW w:w="122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tc>
        <w:tc>
          <w:tcPr>
            <w:tcW w:w="101" w:type="dxa"/>
            <w:tcBorders/>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4611"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REVENUE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126"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868,909</w:t>
            </w:r>
          </w:p>
        </w:tc>
        <w:tc>
          <w:tcPr>
            <w:tcW w:w="10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8"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06"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354,126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76"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961,609</w:t>
            </w:r>
          </w:p>
        </w:tc>
        <w:tc>
          <w:tcPr>
            <w:tcW w:w="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76"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833,925</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61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126" w:type="dxa"/>
            <w:tcBorders/>
            <w:shd w:fill="FFFFFF" w:val="clear"/>
            <w:vAlign w:val="center"/>
          </w:tcPr>
          <w:p>
            <w:pPr>
              <w:pStyle w:val="TableContents"/>
              <w:bidi w:val="0"/>
              <w:spacing w:before="0" w:after="283"/>
              <w:jc w:val="right"/>
              <w:rPr/>
            </w:pPr>
            <w:r>
              <w:rPr/>
              <w:t> </w:t>
            </w:r>
          </w:p>
        </w:tc>
        <w:tc>
          <w:tcPr>
            <w:tcW w:w="106"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076" w:type="dxa"/>
            <w:tcBorders/>
            <w:shd w:fill="FFFFFF" w:val="clear"/>
            <w:vAlign w:val="center"/>
          </w:tcPr>
          <w:p>
            <w:pPr>
              <w:pStyle w:val="TableContents"/>
              <w:bidi w:val="0"/>
              <w:spacing w:before="0" w:after="283"/>
              <w:jc w:val="right"/>
              <w:rPr/>
            </w:pPr>
            <w:r>
              <w:rPr/>
              <w:t> </w:t>
            </w:r>
          </w:p>
        </w:tc>
        <w:tc>
          <w:tcPr>
            <w:tcW w:w="94"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076" w:type="dxa"/>
            <w:tcBorders/>
            <w:shd w:fill="FFFFFF" w:val="clear"/>
            <w:vAlign w:val="center"/>
          </w:tcPr>
          <w:p>
            <w:pPr>
              <w:pStyle w:val="TableContents"/>
              <w:bidi w:val="0"/>
              <w:spacing w:before="0" w:after="283"/>
              <w:jc w:val="right"/>
              <w:rPr/>
            </w:pPr>
            <w:r>
              <w:rPr/>
              <w:t> </w:t>
            </w:r>
          </w:p>
        </w:tc>
        <w:tc>
          <w:tcPr>
            <w:tcW w:w="101" w:type="dxa"/>
            <w:tcBorders/>
            <w:shd w:fill="FFFFFF" w:val="clear"/>
            <w:vAlign w:val="center"/>
          </w:tcPr>
          <w:p>
            <w:pPr>
              <w:pStyle w:val="TableContents"/>
              <w:bidi w:val="0"/>
              <w:spacing w:before="0" w:after="283"/>
              <w:ind w:left="0" w:right="0" w:hanging="144"/>
              <w:jc w:val="left"/>
              <w:rPr/>
            </w:pPr>
            <w:r>
              <w:rPr/>
              <w:t> </w:t>
            </w:r>
          </w:p>
        </w:tc>
      </w:tr>
      <w:tr>
        <w:trPr/>
        <w:tc>
          <w:tcPr>
            <w:tcW w:w="461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849,409</w:t>
            </w:r>
          </w:p>
        </w:tc>
        <w:tc>
          <w:tcPr>
            <w:tcW w:w="10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319,226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922,242</w:t>
            </w:r>
          </w:p>
        </w:tc>
        <w:tc>
          <w:tcPr>
            <w:tcW w:w="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742,769</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61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126" w:type="dxa"/>
            <w:tcBorders/>
            <w:shd w:fill="FFFFFF" w:val="clear"/>
            <w:vAlign w:val="center"/>
          </w:tcPr>
          <w:p>
            <w:pPr>
              <w:pStyle w:val="TableContents"/>
              <w:bidi w:val="0"/>
              <w:spacing w:before="0" w:after="283"/>
              <w:jc w:val="right"/>
              <w:rPr/>
            </w:pPr>
            <w:r>
              <w:rPr/>
              <w:t> </w:t>
            </w:r>
          </w:p>
        </w:tc>
        <w:tc>
          <w:tcPr>
            <w:tcW w:w="106"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076" w:type="dxa"/>
            <w:tcBorders/>
            <w:shd w:fill="FFFFFF" w:val="clear"/>
            <w:vAlign w:val="center"/>
          </w:tcPr>
          <w:p>
            <w:pPr>
              <w:pStyle w:val="TableContents"/>
              <w:bidi w:val="0"/>
              <w:spacing w:before="0" w:after="283"/>
              <w:jc w:val="right"/>
              <w:rPr/>
            </w:pPr>
            <w:r>
              <w:rPr/>
              <w:t> </w:t>
            </w:r>
          </w:p>
        </w:tc>
        <w:tc>
          <w:tcPr>
            <w:tcW w:w="94"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076" w:type="dxa"/>
            <w:tcBorders/>
            <w:shd w:fill="FFFFFF" w:val="clear"/>
            <w:vAlign w:val="center"/>
          </w:tcPr>
          <w:p>
            <w:pPr>
              <w:pStyle w:val="TableContents"/>
              <w:bidi w:val="0"/>
              <w:spacing w:before="0" w:after="283"/>
              <w:jc w:val="right"/>
              <w:rPr/>
            </w:pPr>
            <w:r>
              <w:rPr/>
              <w:t> </w:t>
            </w:r>
          </w:p>
        </w:tc>
        <w:tc>
          <w:tcPr>
            <w:tcW w:w="101" w:type="dxa"/>
            <w:tcBorders/>
            <w:shd w:fill="FFFFFF" w:val="clear"/>
            <w:vAlign w:val="center"/>
          </w:tcPr>
          <w:p>
            <w:pPr>
              <w:pStyle w:val="TableContents"/>
              <w:bidi w:val="0"/>
              <w:spacing w:before="0" w:after="283"/>
              <w:ind w:left="0" w:right="0" w:hanging="144"/>
              <w:jc w:val="left"/>
              <w:rPr/>
            </w:pPr>
            <w:r>
              <w:rPr/>
              <w:t> </w:t>
            </w:r>
          </w:p>
        </w:tc>
      </w:tr>
      <w:tr>
        <w:trPr/>
        <w:tc>
          <w:tcPr>
            <w:tcW w:w="461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2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19,500</w:t>
            </w:r>
          </w:p>
        </w:tc>
        <w:tc>
          <w:tcPr>
            <w:tcW w:w="10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34,900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7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39,367</w:t>
            </w:r>
          </w:p>
        </w:tc>
        <w:tc>
          <w:tcPr>
            <w:tcW w:w="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7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91,156</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61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126" w:type="dxa"/>
            <w:tcBorders/>
            <w:shd w:fill="FFFFFF" w:val="clear"/>
            <w:vAlign w:val="center"/>
          </w:tcPr>
          <w:p>
            <w:pPr>
              <w:pStyle w:val="TableContents"/>
              <w:bidi w:val="0"/>
              <w:spacing w:before="0" w:after="283"/>
              <w:jc w:val="right"/>
              <w:rPr/>
            </w:pPr>
            <w:r>
              <w:rPr/>
              <w:t> </w:t>
            </w:r>
          </w:p>
        </w:tc>
        <w:tc>
          <w:tcPr>
            <w:tcW w:w="106"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076" w:type="dxa"/>
            <w:tcBorders/>
            <w:shd w:fill="FFFFFF" w:val="clear"/>
            <w:vAlign w:val="center"/>
          </w:tcPr>
          <w:p>
            <w:pPr>
              <w:pStyle w:val="TableContents"/>
              <w:bidi w:val="0"/>
              <w:spacing w:before="0" w:after="283"/>
              <w:jc w:val="right"/>
              <w:rPr/>
            </w:pPr>
            <w:r>
              <w:rPr/>
              <w:t> </w:t>
            </w:r>
          </w:p>
        </w:tc>
        <w:tc>
          <w:tcPr>
            <w:tcW w:w="94"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076" w:type="dxa"/>
            <w:tcBorders/>
            <w:shd w:fill="FFFFFF" w:val="clear"/>
            <w:vAlign w:val="center"/>
          </w:tcPr>
          <w:p>
            <w:pPr>
              <w:pStyle w:val="TableContents"/>
              <w:bidi w:val="0"/>
              <w:spacing w:before="0" w:after="283"/>
              <w:jc w:val="right"/>
              <w:rPr/>
            </w:pPr>
            <w:r>
              <w:rPr/>
              <w:t> </w:t>
            </w:r>
          </w:p>
        </w:tc>
        <w:tc>
          <w:tcPr>
            <w:tcW w:w="101" w:type="dxa"/>
            <w:tcBorders/>
            <w:shd w:fill="FFFFFF" w:val="clear"/>
            <w:vAlign w:val="center"/>
          </w:tcPr>
          <w:p>
            <w:pPr>
              <w:pStyle w:val="TableContents"/>
              <w:bidi w:val="0"/>
              <w:spacing w:before="0" w:after="283"/>
              <w:ind w:left="0" w:right="0" w:hanging="144"/>
              <w:jc w:val="left"/>
              <w:rPr/>
            </w:pPr>
            <w:r>
              <w:rPr/>
              <w:t> </w:t>
            </w:r>
          </w:p>
        </w:tc>
      </w:tr>
      <w:tr>
        <w:trPr/>
        <w:tc>
          <w:tcPr>
            <w:tcW w:w="461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EXPENSES</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126" w:type="dxa"/>
            <w:tcBorders/>
            <w:shd w:fill="CCEEFF" w:val="clear"/>
            <w:vAlign w:val="center"/>
          </w:tcPr>
          <w:p>
            <w:pPr>
              <w:pStyle w:val="TableContents"/>
              <w:bidi w:val="0"/>
              <w:spacing w:before="0" w:after="283"/>
              <w:jc w:val="right"/>
              <w:rPr/>
            </w:pPr>
            <w:r>
              <w:rPr/>
              <w:t> </w:t>
            </w:r>
          </w:p>
        </w:tc>
        <w:tc>
          <w:tcPr>
            <w:tcW w:w="106"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1006"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076" w:type="dxa"/>
            <w:tcBorders/>
            <w:shd w:fill="CCEEFF" w:val="clear"/>
            <w:vAlign w:val="center"/>
          </w:tcPr>
          <w:p>
            <w:pPr>
              <w:pStyle w:val="TableContents"/>
              <w:bidi w:val="0"/>
              <w:spacing w:before="0" w:after="283"/>
              <w:jc w:val="right"/>
              <w:rPr/>
            </w:pPr>
            <w:r>
              <w:rPr/>
              <w:t> </w:t>
            </w:r>
          </w:p>
        </w:tc>
        <w:tc>
          <w:tcPr>
            <w:tcW w:w="94"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076" w:type="dxa"/>
            <w:tcBorders/>
            <w:shd w:fill="CCEEFF" w:val="clear"/>
            <w:vAlign w:val="center"/>
          </w:tcPr>
          <w:p>
            <w:pPr>
              <w:pStyle w:val="TableContents"/>
              <w:bidi w:val="0"/>
              <w:spacing w:before="0" w:after="283"/>
              <w:jc w:val="right"/>
              <w:rPr/>
            </w:pPr>
            <w:r>
              <w:rPr/>
              <w:t> </w:t>
            </w:r>
          </w:p>
        </w:tc>
        <w:tc>
          <w:tcPr>
            <w:tcW w:w="101" w:type="dxa"/>
            <w:tcBorders/>
            <w:shd w:fill="CCEEFF" w:val="clear"/>
            <w:vAlign w:val="center"/>
          </w:tcPr>
          <w:p>
            <w:pPr>
              <w:pStyle w:val="TableContents"/>
              <w:bidi w:val="0"/>
              <w:spacing w:before="0" w:after="283"/>
              <w:ind w:left="0" w:right="0" w:hanging="144"/>
              <w:jc w:val="left"/>
              <w:rPr/>
            </w:pPr>
            <w:r>
              <w:rPr/>
              <w:t> </w:t>
            </w:r>
          </w:p>
        </w:tc>
      </w:tr>
      <w:tr>
        <w:trPr/>
        <w:tc>
          <w:tcPr>
            <w:tcW w:w="461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887,115</w:t>
            </w:r>
          </w:p>
        </w:tc>
        <w:tc>
          <w:tcPr>
            <w:tcW w:w="10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805,305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1,657,119</w:t>
            </w:r>
          </w:p>
        </w:tc>
        <w:tc>
          <w:tcPr>
            <w:tcW w:w="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1,805,824</w:t>
            </w:r>
          </w:p>
        </w:tc>
        <w:tc>
          <w:tcPr>
            <w:tcW w:w="101" w:type="dxa"/>
            <w:tcBorders/>
            <w:shd w:fill="FFFF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461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Share-based compensation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2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14,182</w:t>
            </w:r>
          </w:p>
        </w:tc>
        <w:tc>
          <w:tcPr>
            <w:tcW w:w="10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10,444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7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28,364</w:t>
            </w:r>
          </w:p>
        </w:tc>
        <w:tc>
          <w:tcPr>
            <w:tcW w:w="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7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26,629</w:t>
            </w:r>
          </w:p>
        </w:tc>
        <w:tc>
          <w:tcPr>
            <w:tcW w:w="101" w:type="dxa"/>
            <w:tcBorders/>
            <w:shd w:fill="CCEE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461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OPERATING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2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901,297</w:t>
            </w:r>
          </w:p>
        </w:tc>
        <w:tc>
          <w:tcPr>
            <w:tcW w:w="10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815,749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7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1,685,483</w:t>
            </w:r>
          </w:p>
        </w:tc>
        <w:tc>
          <w:tcPr>
            <w:tcW w:w="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7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1,832,453</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61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126" w:type="dxa"/>
            <w:tcBorders/>
            <w:shd w:fill="CCEEFF" w:val="clear"/>
            <w:vAlign w:val="center"/>
          </w:tcPr>
          <w:p>
            <w:pPr>
              <w:pStyle w:val="TableContents"/>
              <w:bidi w:val="0"/>
              <w:spacing w:before="0" w:after="283"/>
              <w:jc w:val="right"/>
              <w:rPr/>
            </w:pPr>
            <w:r>
              <w:rPr/>
              <w:t> </w:t>
            </w:r>
          </w:p>
        </w:tc>
        <w:tc>
          <w:tcPr>
            <w:tcW w:w="106"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1006"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076" w:type="dxa"/>
            <w:tcBorders/>
            <w:shd w:fill="CCEEFF" w:val="clear"/>
            <w:vAlign w:val="center"/>
          </w:tcPr>
          <w:p>
            <w:pPr>
              <w:pStyle w:val="TableContents"/>
              <w:bidi w:val="0"/>
              <w:spacing w:before="0" w:after="283"/>
              <w:jc w:val="right"/>
              <w:rPr/>
            </w:pPr>
            <w:r>
              <w:rPr/>
              <w:t> </w:t>
            </w:r>
          </w:p>
        </w:tc>
        <w:tc>
          <w:tcPr>
            <w:tcW w:w="94"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076" w:type="dxa"/>
            <w:tcBorders/>
            <w:shd w:fill="CCEEFF" w:val="clear"/>
            <w:vAlign w:val="center"/>
          </w:tcPr>
          <w:p>
            <w:pPr>
              <w:pStyle w:val="TableContents"/>
              <w:bidi w:val="0"/>
              <w:spacing w:before="0" w:after="283"/>
              <w:jc w:val="right"/>
              <w:rPr/>
            </w:pPr>
            <w:r>
              <w:rPr/>
              <w:t> </w:t>
            </w:r>
          </w:p>
        </w:tc>
        <w:tc>
          <w:tcPr>
            <w:tcW w:w="101" w:type="dxa"/>
            <w:tcBorders/>
            <w:shd w:fill="CCEEFF" w:val="clear"/>
            <w:vAlign w:val="center"/>
          </w:tcPr>
          <w:p>
            <w:pPr>
              <w:pStyle w:val="TableContents"/>
              <w:bidi w:val="0"/>
              <w:spacing w:before="0" w:after="283"/>
              <w:ind w:left="0" w:right="0" w:hanging="144"/>
              <w:jc w:val="left"/>
              <w:rPr/>
            </w:pPr>
            <w:r>
              <w:rPr/>
              <w:t> </w:t>
            </w:r>
          </w:p>
        </w:tc>
      </w:tr>
      <w:tr>
        <w:trPr/>
        <w:tc>
          <w:tcPr>
            <w:tcW w:w="461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FROM OPERATIONS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2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(881,797</w:t>
            </w:r>
          </w:p>
        </w:tc>
        <w:tc>
          <w:tcPr>
            <w:tcW w:w="10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(780,849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7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(1,646,116</w:t>
            </w:r>
          </w:p>
        </w:tc>
        <w:tc>
          <w:tcPr>
            <w:tcW w:w="9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7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(1,741,297</w:t>
            </w:r>
          </w:p>
        </w:tc>
        <w:tc>
          <w:tcPr>
            <w:tcW w:w="10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61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126" w:type="dxa"/>
            <w:tcBorders/>
            <w:shd w:fill="CCEEFF" w:val="clear"/>
            <w:vAlign w:val="center"/>
          </w:tcPr>
          <w:p>
            <w:pPr>
              <w:pStyle w:val="TableContents"/>
              <w:bidi w:val="0"/>
              <w:spacing w:before="0" w:after="283"/>
              <w:jc w:val="right"/>
              <w:rPr/>
            </w:pPr>
            <w:r>
              <w:rPr/>
              <w:t> </w:t>
            </w:r>
          </w:p>
        </w:tc>
        <w:tc>
          <w:tcPr>
            <w:tcW w:w="106"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1006"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076" w:type="dxa"/>
            <w:tcBorders/>
            <w:shd w:fill="CCEEFF" w:val="clear"/>
            <w:vAlign w:val="center"/>
          </w:tcPr>
          <w:p>
            <w:pPr>
              <w:pStyle w:val="TableContents"/>
              <w:bidi w:val="0"/>
              <w:spacing w:before="0" w:after="283"/>
              <w:jc w:val="right"/>
              <w:rPr/>
            </w:pPr>
            <w:r>
              <w:rPr/>
              <w:t> </w:t>
            </w:r>
          </w:p>
        </w:tc>
        <w:tc>
          <w:tcPr>
            <w:tcW w:w="94"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076" w:type="dxa"/>
            <w:tcBorders/>
            <w:shd w:fill="CCEEFF" w:val="clear"/>
            <w:vAlign w:val="center"/>
          </w:tcPr>
          <w:p>
            <w:pPr>
              <w:pStyle w:val="TableContents"/>
              <w:bidi w:val="0"/>
              <w:spacing w:before="0" w:after="283"/>
              <w:jc w:val="right"/>
              <w:rPr/>
            </w:pPr>
            <w:r>
              <w:rPr/>
              <w:t> </w:t>
            </w:r>
          </w:p>
        </w:tc>
        <w:tc>
          <w:tcPr>
            <w:tcW w:w="101" w:type="dxa"/>
            <w:tcBorders/>
            <w:shd w:fill="CCEEFF" w:val="clear"/>
            <w:vAlign w:val="center"/>
          </w:tcPr>
          <w:p>
            <w:pPr>
              <w:pStyle w:val="TableContents"/>
              <w:bidi w:val="0"/>
              <w:spacing w:before="0" w:after="283"/>
              <w:ind w:left="0" w:right="0" w:hanging="144"/>
              <w:jc w:val="left"/>
              <w:rPr/>
            </w:pPr>
            <w:r>
              <w:rPr/>
              <w:t> </w:t>
            </w:r>
          </w:p>
        </w:tc>
      </w:tr>
      <w:tr>
        <w:trPr/>
        <w:tc>
          <w:tcPr>
            <w:tcW w:w="461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(EXPENSES)</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126" w:type="dxa"/>
            <w:tcBorders/>
            <w:shd w:fill="FFFFFF" w:val="clear"/>
            <w:vAlign w:val="center"/>
          </w:tcPr>
          <w:p>
            <w:pPr>
              <w:pStyle w:val="TableContents"/>
              <w:bidi w:val="0"/>
              <w:spacing w:before="0" w:after="283"/>
              <w:jc w:val="right"/>
              <w:rPr/>
            </w:pPr>
            <w:r>
              <w:rPr/>
              <w:t> </w:t>
            </w:r>
          </w:p>
        </w:tc>
        <w:tc>
          <w:tcPr>
            <w:tcW w:w="106"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076" w:type="dxa"/>
            <w:tcBorders/>
            <w:shd w:fill="FFFFFF" w:val="clear"/>
            <w:vAlign w:val="center"/>
          </w:tcPr>
          <w:p>
            <w:pPr>
              <w:pStyle w:val="TableContents"/>
              <w:bidi w:val="0"/>
              <w:spacing w:before="0" w:after="283"/>
              <w:jc w:val="right"/>
              <w:rPr/>
            </w:pPr>
            <w:r>
              <w:rPr/>
              <w:t> </w:t>
            </w:r>
          </w:p>
        </w:tc>
        <w:tc>
          <w:tcPr>
            <w:tcW w:w="94"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076" w:type="dxa"/>
            <w:tcBorders/>
            <w:shd w:fill="FFFFFF" w:val="clear"/>
            <w:vAlign w:val="center"/>
          </w:tcPr>
          <w:p>
            <w:pPr>
              <w:pStyle w:val="TableContents"/>
              <w:bidi w:val="0"/>
              <w:spacing w:before="0" w:after="283"/>
              <w:jc w:val="right"/>
              <w:rPr/>
            </w:pPr>
            <w:r>
              <w:rPr/>
              <w:t> </w:t>
            </w:r>
          </w:p>
        </w:tc>
        <w:tc>
          <w:tcPr>
            <w:tcW w:w="101" w:type="dxa"/>
            <w:tcBorders/>
            <w:shd w:fill="FFFFFF" w:val="clear"/>
            <w:vAlign w:val="center"/>
          </w:tcPr>
          <w:p>
            <w:pPr>
              <w:pStyle w:val="TableContents"/>
              <w:bidi w:val="0"/>
              <w:spacing w:before="0" w:after="283"/>
              <w:ind w:left="0" w:right="0" w:hanging="144"/>
              <w:jc w:val="left"/>
              <w:rPr/>
            </w:pPr>
            <w:r>
              <w:rPr/>
              <w:t> </w:t>
            </w:r>
          </w:p>
        </w:tc>
      </w:tr>
      <w:tr>
        <w:trPr/>
        <w:tc>
          <w:tcPr>
            <w:tcW w:w="461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264,695</w:t>
            </w:r>
          </w:p>
        </w:tc>
        <w:tc>
          <w:tcPr>
            <w:tcW w:w="10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272,228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415,837</w:t>
            </w:r>
          </w:p>
        </w:tc>
        <w:tc>
          <w:tcPr>
            <w:tcW w:w="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480,318</w:t>
            </w:r>
          </w:p>
        </w:tc>
        <w:tc>
          <w:tcPr>
            <w:tcW w:w="101" w:type="dxa"/>
            <w:tcBorders/>
            <w:shd w:fill="CCEE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461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(6,799</w:t>
            </w:r>
          </w:p>
        </w:tc>
        <w:tc>
          <w:tcPr>
            <w:tcW w:w="10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(8,060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(14,499</w:t>
            </w:r>
          </w:p>
        </w:tc>
        <w:tc>
          <w:tcPr>
            <w:tcW w:w="9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(16,872</w:t>
            </w:r>
          </w:p>
        </w:tc>
        <w:tc>
          <w:tcPr>
            <w:tcW w:w="101" w:type="dxa"/>
            <w:tcBorders/>
            <w:shd w:fill="FFFFFF" w:val="clear"/>
            <w:vAlign w:val="center"/>
          </w:tcPr>
          <w:p>
            <w:pPr>
              <w:pStyle w:val="TableContents"/>
              <w:bidi w:val="0"/>
              <w:spacing w:before="0" w:after="283"/>
              <w:ind w:left="0" w:right="0" w:hanging="14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61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on disposal of Edward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(297,610</w:t>
            </w:r>
          </w:p>
        </w:tc>
        <w:tc>
          <w:tcPr>
            <w:tcW w:w="10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(297,610</w:t>
            </w:r>
          </w:p>
        </w:tc>
        <w:tc>
          <w:tcPr>
            <w:tcW w:w="9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101" w:type="dxa"/>
            <w:tcBorders/>
            <w:shd w:fill="CCEE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461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2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993,766</w:t>
            </w:r>
          </w:p>
        </w:tc>
        <w:tc>
          <w:tcPr>
            <w:tcW w:w="10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17,140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7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1,002,778</w:t>
            </w:r>
          </w:p>
        </w:tc>
        <w:tc>
          <w:tcPr>
            <w:tcW w:w="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7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29,756</w:t>
            </w:r>
          </w:p>
        </w:tc>
        <w:tc>
          <w:tcPr>
            <w:tcW w:w="101" w:type="dxa"/>
            <w:tcBorders/>
            <w:shd w:fill="FFFF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461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2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954,052</w:t>
            </w:r>
          </w:p>
        </w:tc>
        <w:tc>
          <w:tcPr>
            <w:tcW w:w="10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281,308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7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1,106,506</w:t>
            </w:r>
          </w:p>
        </w:tc>
        <w:tc>
          <w:tcPr>
            <w:tcW w:w="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7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493,202</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61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126" w:type="dxa"/>
            <w:tcBorders/>
            <w:shd w:fill="FFFFFF" w:val="clear"/>
            <w:vAlign w:val="center"/>
          </w:tcPr>
          <w:p>
            <w:pPr>
              <w:pStyle w:val="TableContents"/>
              <w:bidi w:val="0"/>
              <w:spacing w:before="0" w:after="283"/>
              <w:jc w:val="right"/>
              <w:rPr/>
            </w:pPr>
            <w:r>
              <w:rPr/>
              <w:t> </w:t>
            </w:r>
          </w:p>
        </w:tc>
        <w:tc>
          <w:tcPr>
            <w:tcW w:w="106"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076" w:type="dxa"/>
            <w:tcBorders/>
            <w:shd w:fill="FFFFFF" w:val="clear"/>
            <w:vAlign w:val="center"/>
          </w:tcPr>
          <w:p>
            <w:pPr>
              <w:pStyle w:val="TableContents"/>
              <w:bidi w:val="0"/>
              <w:spacing w:before="0" w:after="283"/>
              <w:jc w:val="right"/>
              <w:rPr/>
            </w:pPr>
            <w:r>
              <w:rPr/>
              <w:t> </w:t>
            </w:r>
          </w:p>
        </w:tc>
        <w:tc>
          <w:tcPr>
            <w:tcW w:w="94"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076" w:type="dxa"/>
            <w:tcBorders/>
            <w:shd w:fill="FFFFFF" w:val="clear"/>
            <w:vAlign w:val="center"/>
          </w:tcPr>
          <w:p>
            <w:pPr>
              <w:pStyle w:val="TableContents"/>
              <w:bidi w:val="0"/>
              <w:spacing w:before="0" w:after="283"/>
              <w:jc w:val="right"/>
              <w:rPr/>
            </w:pPr>
            <w:r>
              <w:rPr/>
              <w:t> </w:t>
            </w:r>
          </w:p>
        </w:tc>
        <w:tc>
          <w:tcPr>
            <w:tcW w:w="101" w:type="dxa"/>
            <w:tcBorders/>
            <w:shd w:fill="FFFFFF" w:val="clear"/>
            <w:vAlign w:val="center"/>
          </w:tcPr>
          <w:p>
            <w:pPr>
              <w:pStyle w:val="TableContents"/>
              <w:bidi w:val="0"/>
              <w:spacing w:before="0" w:after="283"/>
              <w:ind w:left="0" w:right="0" w:hanging="144"/>
              <w:jc w:val="left"/>
              <w:rPr/>
            </w:pPr>
            <w:r>
              <w:rPr/>
              <w:t> </w:t>
            </w:r>
          </w:p>
        </w:tc>
      </w:tr>
      <w:tr>
        <w:trPr/>
        <w:tc>
          <w:tcPr>
            <w:tcW w:w="4611"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INCOME (LOSS) FROM CONTINUING OPERATIONS BEFORE INCOME TAXES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6"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72,255</w:t>
            </w:r>
          </w:p>
        </w:tc>
        <w:tc>
          <w:tcPr>
            <w:tcW w:w="10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6"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(499,541</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6"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(539,610</w:t>
            </w:r>
          </w:p>
        </w:tc>
        <w:tc>
          <w:tcPr>
            <w:tcW w:w="94"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6"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(1,248,095</w:t>
            </w:r>
          </w:p>
        </w:tc>
        <w:tc>
          <w:tcPr>
            <w:tcW w:w="101"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461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126" w:type="dxa"/>
            <w:tcBorders/>
            <w:shd w:fill="FFFFFF" w:val="clear"/>
            <w:vAlign w:val="center"/>
          </w:tcPr>
          <w:p>
            <w:pPr>
              <w:pStyle w:val="TableContents"/>
              <w:bidi w:val="0"/>
              <w:spacing w:before="0" w:after="283"/>
              <w:jc w:val="right"/>
              <w:rPr/>
            </w:pPr>
            <w:r>
              <w:rPr/>
              <w:t> </w:t>
            </w:r>
          </w:p>
        </w:tc>
        <w:tc>
          <w:tcPr>
            <w:tcW w:w="106"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076" w:type="dxa"/>
            <w:tcBorders/>
            <w:shd w:fill="FFFFFF" w:val="clear"/>
            <w:vAlign w:val="center"/>
          </w:tcPr>
          <w:p>
            <w:pPr>
              <w:pStyle w:val="TableContents"/>
              <w:bidi w:val="0"/>
              <w:spacing w:before="0" w:after="283"/>
              <w:jc w:val="right"/>
              <w:rPr/>
            </w:pPr>
            <w:r>
              <w:rPr/>
              <w:t> </w:t>
            </w:r>
          </w:p>
        </w:tc>
        <w:tc>
          <w:tcPr>
            <w:tcW w:w="94"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076" w:type="dxa"/>
            <w:tcBorders/>
            <w:shd w:fill="FFFFFF" w:val="clear"/>
            <w:vAlign w:val="center"/>
          </w:tcPr>
          <w:p>
            <w:pPr>
              <w:pStyle w:val="TableContents"/>
              <w:bidi w:val="0"/>
              <w:spacing w:before="0" w:after="283"/>
              <w:jc w:val="right"/>
              <w:rPr/>
            </w:pPr>
            <w:r>
              <w:rPr/>
              <w:t> </w:t>
            </w:r>
          </w:p>
        </w:tc>
        <w:tc>
          <w:tcPr>
            <w:tcW w:w="101" w:type="dxa"/>
            <w:tcBorders/>
            <w:shd w:fill="FFFFFF" w:val="clear"/>
            <w:vAlign w:val="center"/>
          </w:tcPr>
          <w:p>
            <w:pPr>
              <w:pStyle w:val="TableContents"/>
              <w:bidi w:val="0"/>
              <w:spacing w:before="0" w:after="283"/>
              <w:ind w:left="0" w:right="0" w:hanging="144"/>
              <w:jc w:val="left"/>
              <w:rPr/>
            </w:pPr>
            <w:r>
              <w:rPr/>
              <w:t> </w:t>
            </w:r>
          </w:p>
        </w:tc>
      </w:tr>
      <w:tr>
        <w:trPr/>
        <w:tc>
          <w:tcPr>
            <w:tcW w:w="461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2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1,210</w:t>
            </w:r>
          </w:p>
        </w:tc>
        <w:tc>
          <w:tcPr>
            <w:tcW w:w="10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12,987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7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5,610</w:t>
            </w:r>
          </w:p>
        </w:tc>
        <w:tc>
          <w:tcPr>
            <w:tcW w:w="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7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18,342</w:t>
            </w:r>
          </w:p>
        </w:tc>
        <w:tc>
          <w:tcPr>
            <w:tcW w:w="101" w:type="dxa"/>
            <w:tcBorders/>
            <w:shd w:fill="CCEE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461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126" w:type="dxa"/>
            <w:tcBorders/>
            <w:shd w:fill="FFFFFF" w:val="clear"/>
            <w:vAlign w:val="center"/>
          </w:tcPr>
          <w:p>
            <w:pPr>
              <w:pStyle w:val="TableContents"/>
              <w:bidi w:val="0"/>
              <w:spacing w:before="0" w:after="283"/>
              <w:jc w:val="right"/>
              <w:rPr/>
            </w:pPr>
            <w:r>
              <w:rPr/>
              <w:t> </w:t>
            </w:r>
          </w:p>
        </w:tc>
        <w:tc>
          <w:tcPr>
            <w:tcW w:w="106"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076" w:type="dxa"/>
            <w:tcBorders/>
            <w:shd w:fill="FFFFFF" w:val="clear"/>
            <w:vAlign w:val="center"/>
          </w:tcPr>
          <w:p>
            <w:pPr>
              <w:pStyle w:val="TableContents"/>
              <w:bidi w:val="0"/>
              <w:spacing w:before="0" w:after="283"/>
              <w:jc w:val="right"/>
              <w:rPr/>
            </w:pPr>
            <w:r>
              <w:rPr/>
              <w:t> </w:t>
            </w:r>
          </w:p>
        </w:tc>
        <w:tc>
          <w:tcPr>
            <w:tcW w:w="94"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076" w:type="dxa"/>
            <w:tcBorders/>
            <w:shd w:fill="FFFFFF" w:val="clear"/>
            <w:vAlign w:val="center"/>
          </w:tcPr>
          <w:p>
            <w:pPr>
              <w:pStyle w:val="TableContents"/>
              <w:bidi w:val="0"/>
              <w:spacing w:before="0" w:after="283"/>
              <w:jc w:val="right"/>
              <w:rPr/>
            </w:pPr>
            <w:r>
              <w:rPr/>
              <w:t> </w:t>
            </w:r>
          </w:p>
        </w:tc>
        <w:tc>
          <w:tcPr>
            <w:tcW w:w="101" w:type="dxa"/>
            <w:tcBorders/>
            <w:shd w:fill="FFFFFF" w:val="clear"/>
            <w:vAlign w:val="center"/>
          </w:tcPr>
          <w:p>
            <w:pPr>
              <w:pStyle w:val="TableContents"/>
              <w:bidi w:val="0"/>
              <w:spacing w:before="0" w:after="283"/>
              <w:ind w:left="0" w:right="0" w:hanging="144"/>
              <w:jc w:val="left"/>
              <w:rPr/>
            </w:pPr>
            <w:r>
              <w:rPr/>
              <w:t> </w:t>
            </w:r>
          </w:p>
        </w:tc>
      </w:tr>
      <w:tr>
        <w:trPr/>
        <w:tc>
          <w:tcPr>
            <w:tcW w:w="4611"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INCOME (LOSS) FROM CONTINUING OPERATIONS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2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71,045</w:t>
            </w:r>
          </w:p>
        </w:tc>
        <w:tc>
          <w:tcPr>
            <w:tcW w:w="10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(512,528</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7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(545,220</w:t>
            </w:r>
          </w:p>
        </w:tc>
        <w:tc>
          <w:tcPr>
            <w:tcW w:w="94"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7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(1,266,437</w:t>
            </w:r>
          </w:p>
        </w:tc>
        <w:tc>
          <w:tcPr>
            <w:tcW w:w="101"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461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126" w:type="dxa"/>
            <w:tcBorders/>
            <w:shd w:fill="FFFFFF" w:val="clear"/>
            <w:vAlign w:val="center"/>
          </w:tcPr>
          <w:p>
            <w:pPr>
              <w:pStyle w:val="TableContents"/>
              <w:bidi w:val="0"/>
              <w:spacing w:before="0" w:after="283"/>
              <w:jc w:val="right"/>
              <w:rPr/>
            </w:pPr>
            <w:r>
              <w:rPr/>
              <w:t> </w:t>
            </w:r>
          </w:p>
        </w:tc>
        <w:tc>
          <w:tcPr>
            <w:tcW w:w="106"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076" w:type="dxa"/>
            <w:tcBorders/>
            <w:shd w:fill="FFFFFF" w:val="clear"/>
            <w:vAlign w:val="center"/>
          </w:tcPr>
          <w:p>
            <w:pPr>
              <w:pStyle w:val="TableContents"/>
              <w:bidi w:val="0"/>
              <w:spacing w:before="0" w:after="283"/>
              <w:jc w:val="right"/>
              <w:rPr/>
            </w:pPr>
            <w:r>
              <w:rPr/>
              <w:t> </w:t>
            </w:r>
          </w:p>
        </w:tc>
        <w:tc>
          <w:tcPr>
            <w:tcW w:w="94"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076" w:type="dxa"/>
            <w:tcBorders/>
            <w:shd w:fill="FFFFFF" w:val="clear"/>
            <w:vAlign w:val="center"/>
          </w:tcPr>
          <w:p>
            <w:pPr>
              <w:pStyle w:val="TableContents"/>
              <w:bidi w:val="0"/>
              <w:spacing w:before="0" w:after="283"/>
              <w:jc w:val="right"/>
              <w:rPr/>
            </w:pPr>
            <w:r>
              <w:rPr/>
              <w:t> </w:t>
            </w:r>
          </w:p>
        </w:tc>
        <w:tc>
          <w:tcPr>
            <w:tcW w:w="101" w:type="dxa"/>
            <w:tcBorders/>
            <w:shd w:fill="FFFFFF" w:val="clear"/>
            <w:vAlign w:val="center"/>
          </w:tcPr>
          <w:p>
            <w:pPr>
              <w:pStyle w:val="TableContents"/>
              <w:bidi w:val="0"/>
              <w:spacing w:before="0" w:after="283"/>
              <w:ind w:left="0" w:right="0" w:hanging="144"/>
              <w:jc w:val="left"/>
              <w:rPr/>
            </w:pPr>
            <w:r>
              <w:rPr/>
              <w:t> </w:t>
            </w:r>
          </w:p>
        </w:tc>
      </w:tr>
      <w:tr>
        <w:trPr/>
        <w:tc>
          <w:tcPr>
            <w:tcW w:w="4611"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LOSS FROM DISCONTINUED OPERATIONS, NET OF TAX</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26"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10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6"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76"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76"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61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126" w:type="dxa"/>
            <w:tcBorders/>
            <w:shd w:fill="FFFFFF" w:val="clear"/>
            <w:vAlign w:val="center"/>
          </w:tcPr>
          <w:p>
            <w:pPr>
              <w:pStyle w:val="TableContents"/>
              <w:bidi w:val="0"/>
              <w:spacing w:before="0" w:after="283"/>
              <w:jc w:val="right"/>
              <w:rPr/>
            </w:pPr>
            <w:r>
              <w:rPr/>
              <w:t> </w:t>
            </w:r>
          </w:p>
        </w:tc>
        <w:tc>
          <w:tcPr>
            <w:tcW w:w="106"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076" w:type="dxa"/>
            <w:tcBorders/>
            <w:shd w:fill="FFFFFF" w:val="clear"/>
            <w:vAlign w:val="center"/>
          </w:tcPr>
          <w:p>
            <w:pPr>
              <w:pStyle w:val="TableContents"/>
              <w:bidi w:val="0"/>
              <w:spacing w:before="0" w:after="283"/>
              <w:jc w:val="right"/>
              <w:rPr/>
            </w:pPr>
            <w:r>
              <w:rPr/>
              <w:t> </w:t>
            </w:r>
          </w:p>
        </w:tc>
        <w:tc>
          <w:tcPr>
            <w:tcW w:w="94"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076" w:type="dxa"/>
            <w:tcBorders/>
            <w:shd w:fill="FFFFFF" w:val="clear"/>
            <w:vAlign w:val="center"/>
          </w:tcPr>
          <w:p>
            <w:pPr>
              <w:pStyle w:val="TableContents"/>
              <w:bidi w:val="0"/>
              <w:spacing w:before="0" w:after="283"/>
              <w:jc w:val="right"/>
              <w:rPr/>
            </w:pPr>
            <w:r>
              <w:rPr/>
              <w:t> </w:t>
            </w:r>
          </w:p>
        </w:tc>
        <w:tc>
          <w:tcPr>
            <w:tcW w:w="101" w:type="dxa"/>
            <w:tcBorders/>
            <w:shd w:fill="FFFFFF" w:val="clear"/>
            <w:vAlign w:val="center"/>
          </w:tcPr>
          <w:p>
            <w:pPr>
              <w:pStyle w:val="TableContents"/>
              <w:bidi w:val="0"/>
              <w:spacing w:before="0" w:after="283"/>
              <w:ind w:left="0" w:right="0" w:hanging="144"/>
              <w:jc w:val="left"/>
              <w:rPr/>
            </w:pPr>
            <w:r>
              <w:rPr/>
              <w:t> </w:t>
            </w:r>
          </w:p>
        </w:tc>
      </w:tr>
      <w:tr>
        <w:trPr/>
        <w:tc>
          <w:tcPr>
            <w:tcW w:w="4611"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INCOME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126"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71,045</w:t>
            </w:r>
          </w:p>
        </w:tc>
        <w:tc>
          <w:tcPr>
            <w:tcW w:w="10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8"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06"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(512,528</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76"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(545,220</w:t>
            </w:r>
          </w:p>
        </w:tc>
        <w:tc>
          <w:tcPr>
            <w:tcW w:w="94"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76"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(1,266,437</w:t>
            </w:r>
          </w:p>
        </w:tc>
        <w:tc>
          <w:tcPr>
            <w:tcW w:w="101"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461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126" w:type="dxa"/>
            <w:tcBorders/>
            <w:shd w:fill="FFFFFF" w:val="clear"/>
            <w:vAlign w:val="center"/>
          </w:tcPr>
          <w:p>
            <w:pPr>
              <w:pStyle w:val="TableContents"/>
              <w:bidi w:val="0"/>
              <w:spacing w:before="0" w:after="283"/>
              <w:jc w:val="right"/>
              <w:rPr/>
            </w:pPr>
            <w:r>
              <w:rPr/>
              <w:t> </w:t>
            </w:r>
          </w:p>
        </w:tc>
        <w:tc>
          <w:tcPr>
            <w:tcW w:w="106"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076" w:type="dxa"/>
            <w:tcBorders/>
            <w:shd w:fill="FFFFFF" w:val="clear"/>
            <w:vAlign w:val="center"/>
          </w:tcPr>
          <w:p>
            <w:pPr>
              <w:pStyle w:val="TableContents"/>
              <w:bidi w:val="0"/>
              <w:spacing w:before="0" w:after="283"/>
              <w:jc w:val="right"/>
              <w:rPr/>
            </w:pPr>
            <w:r>
              <w:rPr/>
              <w:t> </w:t>
            </w:r>
          </w:p>
        </w:tc>
        <w:tc>
          <w:tcPr>
            <w:tcW w:w="94"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076" w:type="dxa"/>
            <w:tcBorders/>
            <w:shd w:fill="FFFFFF" w:val="clear"/>
            <w:vAlign w:val="center"/>
          </w:tcPr>
          <w:p>
            <w:pPr>
              <w:pStyle w:val="TableContents"/>
              <w:bidi w:val="0"/>
              <w:spacing w:before="0" w:after="283"/>
              <w:jc w:val="right"/>
              <w:rPr/>
            </w:pPr>
            <w:r>
              <w:rPr/>
              <w:t> </w:t>
            </w:r>
          </w:p>
        </w:tc>
        <w:tc>
          <w:tcPr>
            <w:tcW w:w="101" w:type="dxa"/>
            <w:tcBorders/>
            <w:shd w:fill="FFFFFF" w:val="clear"/>
            <w:vAlign w:val="center"/>
          </w:tcPr>
          <w:p>
            <w:pPr>
              <w:pStyle w:val="TableContents"/>
              <w:bidi w:val="0"/>
              <w:spacing w:before="0" w:after="283"/>
              <w:ind w:left="0" w:right="0" w:hanging="144"/>
              <w:jc w:val="left"/>
              <w:rPr/>
            </w:pPr>
            <w:r>
              <w:rPr/>
              <w:t> </w:t>
            </w:r>
          </w:p>
        </w:tc>
      </w:tr>
      <w:tr>
        <w:trPr/>
        <w:tc>
          <w:tcPr>
            <w:tcW w:w="461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(loss) from continuing operations per ordinary share - basic and diluted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2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0.037</w:t>
            </w:r>
          </w:p>
        </w:tc>
        <w:tc>
          <w:tcPr>
            <w:tcW w:w="10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(31.84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7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(0.53</w:t>
            </w:r>
          </w:p>
        </w:tc>
        <w:tc>
          <w:tcPr>
            <w:tcW w:w="9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7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(78.68</w:t>
            </w:r>
          </w:p>
        </w:tc>
        <w:tc>
          <w:tcPr>
            <w:tcW w:w="101" w:type="dxa"/>
            <w:tcBorders/>
            <w:shd w:fill="CCEEFF" w:val="clear"/>
            <w:vAlign w:val="center"/>
          </w:tcPr>
          <w:p>
            <w:pPr>
              <w:pStyle w:val="TableContents"/>
              <w:bidi w:val="0"/>
              <w:spacing w:before="0" w:after="283"/>
              <w:ind w:left="0" w:right="0" w:hanging="14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61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(loss) from discontinued operations per ordinary share - basic and diluted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2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w:t>
            </w:r>
          </w:p>
        </w:tc>
        <w:tc>
          <w:tcPr>
            <w:tcW w:w="10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7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w:t>
            </w:r>
          </w:p>
        </w:tc>
        <w:tc>
          <w:tcPr>
            <w:tcW w:w="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7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w:t>
            </w:r>
          </w:p>
        </w:tc>
        <w:tc>
          <w:tcPr>
            <w:tcW w:w="101" w:type="dxa"/>
            <w:tcBorders/>
            <w:shd w:fill="FFFFFF" w:val="clear"/>
            <w:vAlign w:val="center"/>
          </w:tcPr>
          <w:p>
            <w:pPr>
              <w:pStyle w:val="TableContents"/>
              <w:bidi w:val="0"/>
              <w:spacing w:before="0" w:after="283"/>
              <w:ind w:left="0" w:right="0" w:hanging="144"/>
              <w:jc w:val="left"/>
              <w:rPr>
                <w:caps w:val="false"/>
                <w:smallCaps w:val="false"/>
              </w:rPr>
            </w:pPr>
            <w:r>
              <w:rPr>
                <w:caps w:val="false"/>
                <w:smallCaps w:val="false"/>
              </w:rPr>
              <w:t> </w:t>
            </w:r>
          </w:p>
        </w:tc>
      </w:tr>
      <w:tr>
        <w:trPr/>
        <w:tc>
          <w:tcPr>
            <w:tcW w:w="461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Earnings (loss) per share - basic and diluted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2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0.037</w:t>
            </w:r>
          </w:p>
        </w:tc>
        <w:tc>
          <w:tcPr>
            <w:tcW w:w="10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8"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(31.84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7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(0.53</w:t>
            </w:r>
          </w:p>
        </w:tc>
        <w:tc>
          <w:tcPr>
            <w:tcW w:w="9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7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(78.68</w:t>
            </w:r>
          </w:p>
        </w:tc>
        <w:tc>
          <w:tcPr>
            <w:tcW w:w="101" w:type="dxa"/>
            <w:tcBorders/>
            <w:shd w:fill="CCEEFF" w:val="clear"/>
            <w:vAlign w:val="center"/>
          </w:tcPr>
          <w:p>
            <w:pPr>
              <w:pStyle w:val="TableContents"/>
              <w:bidi w:val="0"/>
              <w:spacing w:before="0" w:after="283"/>
              <w:ind w:left="0" w:right="0" w:hanging="14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61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 average shares - basic and diluted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2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1,909,536</w:t>
            </w:r>
          </w:p>
        </w:tc>
        <w:tc>
          <w:tcPr>
            <w:tcW w:w="10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8"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16,096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7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1,027,682</w:t>
            </w:r>
          </w:p>
        </w:tc>
        <w:tc>
          <w:tcPr>
            <w:tcW w:w="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7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16,096</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Certain reclassifications have been made to the financial statements for the period ended June 30, 2024, to conform to the presentation for the period ended June 30, 2025, with no effect on previously reported net income (loss). See Note 6 – Discontinued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8096250" cy="99060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8096250" cy="99060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8096250" cy="89535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8096250" cy="895350"/>
                    </a:xfrm>
                    <a:prstGeom prst="rect">
                      <a:avLst/>
                    </a:prstGeom>
                  </pic:spPr>
                </pic:pic>
              </a:graphicData>
            </a:graphic>
          </wp:inline>
        </w:drawing>
      </w: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CHEETAH NET SUPPLY CHAIN SERVICE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CASH FLOWS</w:t>
      </w:r>
    </w:p>
    <w:p>
      <w:pPr>
        <w:pStyle w:val="TextBody"/>
        <w:bidi w:val="0"/>
        <w:spacing w:before="0" w:after="0"/>
        <w:ind w:left="0" w:right="0" w:hanging="0"/>
        <w:jc w:val="left"/>
        <w:rPr>
          <w:caps w:val="false"/>
          <w:smallCaps w:val="false"/>
        </w:rPr>
      </w:pPr>
      <w:r>
        <w:rPr>
          <w:caps w:val="false"/>
          <w:smallCaps w:val="false"/>
        </w:rPr>
        <w:t> </w:t>
      </w:r>
    </w:p>
    <w:tbl>
      <w:tblPr>
        <w:tblW w:w="8165" w:type="dxa"/>
        <w:jc w:val="left"/>
        <w:tblInd w:w="0" w:type="dxa"/>
        <w:tblLayout w:type="fixed"/>
        <w:tblCellMar>
          <w:top w:w="0" w:type="dxa"/>
          <w:left w:w="0" w:type="dxa"/>
          <w:bottom w:w="0" w:type="dxa"/>
          <w:right w:w="0" w:type="dxa"/>
        </w:tblCellMar>
      </w:tblPr>
      <w:tblGrid>
        <w:gridCol w:w="5705"/>
        <w:gridCol w:w="60"/>
        <w:gridCol w:w="125"/>
        <w:gridCol w:w="1010"/>
        <w:gridCol w:w="80"/>
        <w:gridCol w:w="60"/>
        <w:gridCol w:w="125"/>
        <w:gridCol w:w="905"/>
        <w:gridCol w:w="95"/>
      </w:tblGrid>
      <w:tr>
        <w:trPr/>
        <w:tc>
          <w:tcPr>
            <w:tcW w:w="57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30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 June 30,</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7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3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70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cash provided by (used in) operating activities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1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(865,760</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0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1,333,668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7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used in operations-continuing operations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(865,760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(1,206,833</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7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provided by operations-discontinued operations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2,540,501</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70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cash used in investing activities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(68,610,348</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(2,661,150</w:t>
            </w:r>
          </w:p>
        </w:tc>
        <w:tc>
          <w:tcPr>
            <w:tcW w:w="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57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used in investing activities-continuing operations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(68,610,348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(2,661,150</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70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cash provided by (used in) financing activities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71,386,495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(138,294</w:t>
            </w:r>
          </w:p>
        </w:tc>
        <w:tc>
          <w:tcPr>
            <w:tcW w:w="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57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provided by (used in) financing activities-continuing operations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71,386,495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(138,294</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7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(decrease) increase in cash</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1,910,387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(1,465,776</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8096250" cy="99060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8096250" cy="99060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Wingdings">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1.jpeg"/><Relationship Id="rId7" Type="http://schemas.openxmlformats.org/officeDocument/2006/relationships/image" Target="media/image2.jpeg"/><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1.jpeg"/><Relationship Id="rId11" Type="http://schemas.openxmlformats.org/officeDocument/2006/relationships/image" Target="media/image2.jpeg"/><Relationship Id="rId12" Type="http://schemas.openxmlformats.org/officeDocument/2006/relationships/image" Target="media/image1.jpeg"/><Relationship Id="rId13" Type="http://schemas.openxmlformats.org/officeDocument/2006/relationships/image" Target="media/image2.jpeg"/><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3506</Words>
  <Characters>19997</Characters>
  <CharactersWithSpaces>24020</CharactersWithSpaces>
  <Paragraphs>1388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