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8435d1_8k.htm"/>
      <w:bookmarkStart w:id="1" w:name="kstm2618435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6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D_edei--DocumentPeriodEndDate_c202"/>
      <w:bookmarkEnd w:id="3"/>
      <w:r>
        <w:rPr>
          <w:rFonts w:ascii="Times New Roman;Times;Serif" w:hAnsi="Times New Roman;Times;Serif"/>
          <w:b/>
          <w:i w:val="false"/>
          <w:caps w:val="false"/>
          <w:smallCaps w:val="false"/>
          <w:sz w:val="20"/>
        </w:rPr>
        <w:t xml:space="preserve">June 15,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D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B_edei--EntityFileNumber_c20260615"/>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0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8707 Research Drive,</w:t>
              <w:br/>
            </w:r>
            <w:bookmarkStart w:id="9" w:name="xdx_904_edei--EntityAddressCityOrTown_c2"/>
            <w:bookmarkEnd w:id="9"/>
            <w:r>
              <w:rPr>
                <w:rFonts w:ascii="Times New Roman;Times;Serif" w:hAnsi="Times New Roman;Times;Serif"/>
                <w:b/>
                <w:i w:val="false"/>
                <w:caps w:val="false"/>
                <w:smallCaps w:val="false"/>
                <w:sz w:val="20"/>
              </w:rPr>
              <w:t xml:space="preserve">Irvine, </w:t>
            </w:r>
            <w:bookmarkStart w:id="10" w:name="xdx_907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C_edei--EntityAddressPostalZipCode"/>
            <w:bookmarkEnd w:id="11"/>
            <w:r>
              <w:rPr>
                <w:b/>
                <w:sz w:val="20"/>
              </w:rPr>
              <w:t>92618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4_edei--CityAreaCode_c20260615__20"/>
      <w:bookmarkEnd w:id="12"/>
      <w:r>
        <w:rPr>
          <w:rFonts w:ascii="Times New Roman;Times;Serif" w:hAnsi="Times New Roman;Times;Serif"/>
          <w:b w:val="false"/>
          <w:i w:val="false"/>
          <w:caps w:val="false"/>
          <w:smallCaps w:val="false"/>
          <w:sz w:val="20"/>
        </w:rPr>
        <w:t xml:space="preserve">949) </w:t>
      </w:r>
      <w:bookmarkStart w:id="13" w:name="xdx_90B_edei--LocalPhoneNumber_c20260615"/>
      <w:bookmarkEnd w:id="13"/>
      <w:r>
        <w:rPr>
          <w:rFonts w:ascii="Times New Roman;Times;Serif" w:hAnsi="Times New Roman;Times;Serif"/>
          <w:b w:val="false"/>
          <w:i w:val="false"/>
          <w:caps w:val="false"/>
          <w:smallCaps w:val="false"/>
          <w:sz w:val="20"/>
        </w:rPr>
        <w:t>740-7799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6"/>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A_edei--Security12bTitle_c20260615"/>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B_edei--TradingSymbol_c20260615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Cheetah Net Supply Chain Service Inc. (the “Company”) entered into a Securities Purchase Agreement (the “Purchase Agreement”) with Huan Liu, the Company’s Chief Executive Officer, Interim Chief Financial Officer, director, and Chairman of the Board of Directors (the “Purchaser”), pursuant to which the Company issued and sold to the Purchaser 200,000 shares (the “Shares”) of the Company’s Class B common stock, par value $0.0001 per share (the “Class B Common Stock”), at a purchase price of $2.00 per share, for aggregate gross proceeds to the Company of $400,000.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transaction contemplated thereby does not purport to be complete and is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and sold in a private placement transaction exempt from registration under the Securities Act of 1933, as amended (the “Securities Act”), pursuant to Regulation S promulgated under the Securities Act and/or, to the extent applicable, Section 4(a)(2) of the Securities Act and Rule 506(b) of Regulation D promulgated thereunder. The Purchaser represented that he was acquiring the Shares for investment purposes and not with a view to, or for sale in connection with, any distribution thereof in violation of the Securities Act, and the Shares were issued as restricted securities. The Company did not engage in any general solicitation or general advertising in connection with the offer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tcMar>
              <w:bottom w:w="0" w:type="dxa"/>
            </w:tcMar>
            <w:vAlign w:val="center"/>
          </w:tcPr>
          <w:p>
            <w:pPr>
              <w:pStyle w:val="TableContents"/>
              <w:bidi w:val="0"/>
              <w:spacing w:before="0" w:after="283"/>
              <w:jc w:val="left"/>
              <w:rPr/>
            </w:pPr>
            <w:hyperlink w:anchor="tm2618435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m2618435d1_ex10-1.htm">
              <w:r>
                <w:rPr>
                  <w:rStyle w:val="InternetLink"/>
                  <w:rFonts w:ascii="Times New Roman;Times;Serif" w:hAnsi="Times New Roman;Times;Serif"/>
                  <w:sz w:val="20"/>
                </w:rPr>
                <w:t>Securities Purchase Agreement, dated June 15, 2026, by and between Cheetah Net Supply Chain Service Inc. and Huan Liu.</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r>
              <w:rPr/>
              <w:t> </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22, 2026</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20"/>
        <w:gridCol w:w="5975"/>
      </w:tblGrid>
      <w:tr>
        <w:trPr/>
        <w:tc>
          <w:tcPr>
            <w:tcW w:w="75" w:type="dxa"/>
            <w:tcBorders/>
            <w:vAlign w:val="center"/>
          </w:tcPr>
          <w:p>
            <w:pPr>
              <w:pStyle w:val="TableContents"/>
              <w:bidi w:val="0"/>
              <w:spacing w:before="0" w:after="283"/>
              <w:jc w:val="left"/>
              <w:rPr/>
            </w:pPr>
            <w:r>
              <w:rPr/>
              <w:t> </w:t>
            </w:r>
          </w:p>
        </w:tc>
        <w:tc>
          <w:tcPr>
            <w:tcW w:w="62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18435d1_ex10-1.htm"/>
      <w:bookmarkStart w:id="24" w:name="kstm2618435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color w:val="170000"/>
          <w:sz w:val="20"/>
        </w:rPr>
      </w:pPr>
      <w:r>
        <w:rPr>
          <w:rFonts w:ascii="Times New Roman;Times;Serif" w:hAnsi="Times New Roman;Times;Serif"/>
          <w:b/>
          <w:i w:val="false"/>
          <w:caps w:val="false"/>
          <w:smallCaps w:val="false"/>
          <w:color w:val="170000"/>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“Agreement”) is entered into and made effective as of June 15, 2026, by and between Cheetah Net Supply Chain Service Inc., a Delaware corporation (Nasdaq: CTNT) (the “Company”), and Huan Liu, an individual, solely in his individual capacity and not in his capacity as an officer or director of the Company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the Purchaser, and the Purchaser desires to purchase from the Company, the “Shares”), at a purchase price of $2.00 per Share, for an aggregate purchase price of $ 400,000.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 is the Chief Executive Officer, Director and Chairman of the Board of Directors of the Company, and the Board of Directors of the Company, acting through a committee of disinterested directors, has reviewed and approved the transactions contemplated hereby as a related-party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offer and sale of the Shares are being made in a transaction exempt from registration under the Securities Act pursuant to Regulation S promulgated thereunder and/or, to the extent applicable, Section 4(a)(2) of the Securities Act and Rule 506(b) of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for all purposes of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Saturday, Sunday, or other day on which commercial banks in The City of New York or China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Common Stock” means the Class A common stock, par value $0.0001 per share, of the Company, each entitling the holder to one (1) vote for each share of Class A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Common Stock” means the Class B common stock, par value $0.0001 per share, of the Company, each entitling the holder to fifteen (15) votes for each share of Class B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purchase and sale of the Shares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third Business Day after the date of this Agreement or such other Business Day as may be agreed by the parties on which all of the Transaction Documents have been executed and delivered by the applicable parties thereto pursuant to Section 2.1 and all conditions precedent to (i) the Purchaser’s obligation to pay the Subscription Amount and (ii) the Company’s obligations to deliver the Shares have been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or “SEC”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Disclosure Schedules” means the Disclosure Schedules of the Company delivered concurrently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or “1934 Act”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Liens”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Adverse Effect” shall mean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Purchaser”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Registrable Securities” shall have the meaning ascribed to such term in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means the Class B Common Stock issued or issuable to the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Short Sales” means all “short sales” as defined in Rule 200 of Regulation SHO under the Exchange Act (but shall not be deemed to include locating and/or borrowing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Subscription Amount” means, as to the Purchaser, the aggregate amount to be paid for the Shares hereunder by the Purchaser, as specified below the Purchaser’s name on the signature page of this Agreement,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any subsidiary of the Company as set forth on Schedule 3.1(a),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Day”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Market”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Documents” means this Agreement,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u w:val="single"/>
        </w:rPr>
      </w:pPr>
      <w:r>
        <w:rPr>
          <w:caps w:val="false"/>
          <w:smallCaps w:val="false"/>
          <w:u w:val="single"/>
        </w:rPr>
        <w:t>“</w:t>
      </w:r>
      <w:r>
        <w:rPr>
          <w:rFonts w:ascii="Times New Roman;Times;Serif" w:hAnsi="Times New Roman;Times;Serif"/>
          <w:b w:val="false"/>
          <w:i w:val="false"/>
          <w:caps w:val="false"/>
          <w:smallCaps w:val="false"/>
          <w:sz w:val="20"/>
          <w:u w:val="single"/>
        </w:rPr>
        <w:t>Transfer Agent” means VStock Transfer, LLC, at 18 Lafayette Place, Woodmere, NY 11598,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Subscription of Securities</w:t>
      </w:r>
      <w:r>
        <w:rPr>
          <w:rFonts w:ascii="Times New Roman;Times;Serif" w:hAnsi="Times New Roman;Times;Serif"/>
          <w:b w:val="false"/>
          <w:i w:val="false"/>
          <w:caps w:val="false"/>
          <w:smallCaps w:val="false"/>
          <w:sz w:val="20"/>
        </w:rPr>
        <w:t>. Upon the terms and subject to the conditions set forth herein, the Company agrees to sell to the Purchaser, and the Purchaser agrees to purchase from the Company, 200,000 Shares at a purchase price of $2.00 per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 for an aggregate purchase price of $400,000 (the “</w:t>
      </w: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The Purchase Price per Share shall be not less than (i) the Minimum Price for purposes of Nasdaq Listing Rule 5635(d) and (ii) the consolidated closing bid price of the Class A Common Stock immediately preceding the execution of this Agreement for purposes of Nasdaq Listing Rule 5635(c), unless the Company has obtained Stockholder Approval prior to the Closing to the extent required by Nasdaq Listing Rules 5635(c) and/or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the Purchaser shall deliver to the Company, via wire transfer to the account specified in writing by the Company, immediately available funds equal to the Purchaser’s Subscription Amount, and the Company shall issue and deliver to the Purchaser the Shares. The Company and the Purchaser shall also deliver the items set forth in Section 2.2 that are deliverable by them at the Closing. Upon satisfaction or waiver of the covenants and conditions set forth in Sections 2.2 and 2.3, the Closing shall occur at such location as the parties shall mutually agree or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instructing the Transfer Agent to deliver a statement to the Purchaser evidencing the number of restricted Shares set forth on the Purchaser’s signature page to this Agreement, registered in the name of the Purchaser, or, at the election of the Purchaser, evidence of the issuance of the Purchaser’s Shares hereunder as held in restricted book-entry form by the Transfer Agent and registered in the name of the Purchaser, which evidence shall be reasonably satisfactory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Purchaser shall deliver or cause to be delivered to the Company, as applicable,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Purchaser’s Subscription Amount by wire transfer to the account specified in writing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completed purchaser questionnaire and such other information as the Company may reasonably request to confirm the availability of an exemption from registration under the Securities Act and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Purchaser contained herein shall be accurate when made and on the Closing Date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Purchaser shall have delivered the items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each Purchaser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contained herein shall be accurate when made and on the Closing Date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shall have delivered the items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2(a</w:t>
      </w:r>
      <w:r>
        <w:rPr>
          <w:rFonts w:ascii="Times New Roman;Times;Serif" w:hAnsi="Times New Roman;Times;Serif"/>
          <w:b w:val="false"/>
          <w:i w:val="false"/>
          <w:caps w:val="false"/>
          <w:smallCaps w:val="false"/>
          <w:sz w:val="20"/>
        </w:rPr>
        <w:t>)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Purchaser that as of the Closing Date: (i) the Company is a corporation duly organized, validly existing and in good standing under the laws of its jurisdiction of incorporation and has the requisite corporate power to own its properties and to carry on its business as now being conducted; (ii) the Company is duly qualified as a corporation to do business and is in good standing in each jurisdiction where the nature of the business conducted or property owned by it makes such qualification necessary; (iii) the Company has registered its Class A Common Stock under Section 12(b) of the Securities Exchange Act of 1934, as amended (the “1934 Act”), and is obligated to file reports pursuant to Section 13 or Section 15(d) of the 1934 Act; (iv) each of the Transaction Documents and the transactions contemplated hereby and thereby, have been duly and validly authorized by Company and all necessary actions have been taken; (v) this Agreement and the other Transaction Documents have been duly executed and delivered by Company and constitute the valid and binding obligations of Company enforceable in accordance with their terms; (vi) the execution and delivery of the Transaction Documents by Company, the issuance of Securities in accordance with the terms hereof, and the consummation by Company of the other transactions contemplated by the Transaction Documents do not and will not conflict with or result in a breach by the Company of any of the terms or provisions of, or constitute a default under (a) the Company’s formation documents or bylaws, each as currently in effect, (b) any indenture, mortgage, deed of trust, or other material agreement or instrument to which Company is a party or by which it or any of its properties or assets are bound, including, without limitation, any listing agreement for the Class A Common Stock,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lender of Company is required to be obtained by Company for the issuance of the Securities to the Purchaser or the entering into of the Transaction Documents, except for any notices, submissions, filings or approvals required under applicable federal or state securities laws or the Company’s organizational documents or the rules and procedures of the Transfer Agent; (viii)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(ix) during the last twelve (12) months,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 (xi) 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144(i)(1) under the 1933 Act; (xiii) with respect to any commissions, placement agent or finder’s fees or similar payments that will or would become due and owing by Company to any person or entity as a result of this Agreement or the transactions contemplated hereby (“Broker Fees”), any such Broker Fees will be made in full compliance with all applicable laws and regulations and only to a person or entity that is a registered investment adviser or registered broker-dealer; (xiv) the Purchaser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the Purchaser and his affiliates, from and against all claims, losses, damages, costs (including the costs of preparation and attorneys’ fees) and expenses suffered in respect of any such claimed Broker Fees; (xv) neither the Purchaser nor any of his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the Company is not relying on any representation, warranty, covenant or promise of the Purchaser or his agents or representatives other than as set forth in the Transaction Documents; xvi) Company is not relying on foreign private issuer home country practice with respect to the transactions contemplated hereby and has made, or prior to the Closing will make, all notices, submissions and filings with Nasdaq required to be made prior to Closing in connection with the issu(ance of the Shares; (xvii) the Board of Directors of the Company or a duly authorized committee thereof has approved this Agreement and the transactions contemplated hereby, including approval by disinterested directors to the extent required by applicable law, Nasdaq rules or the Company’s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date hereof and as of the Closing Date, to the Company as follows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Organization; Authority</w:t>
      </w:r>
      <w:r>
        <w:rPr>
          <w:rFonts w:ascii="Times New Roman;Times;Serif" w:hAnsi="Times New Roman;Times;Serif"/>
          <w:b w:val="false"/>
          <w:i w:val="false"/>
          <w:caps w:val="false"/>
          <w:smallCaps w:val="false"/>
          <w:sz w:val="20"/>
        </w:rPr>
        <w:t>. The Purchaser is an individual with full legal capacity and authority to enter into and to consummate the transactions contemplated by the Transaction Documents and otherwise to carry out his obligations hereunder and thereunder. Each Transaction Document to which he is a party has been duly executed by the Purchaser and, when delivered by the Purchaser in accordance with the terms hereof, will constitute the valid and legally binding obligation of the Purchaser, enforceable against him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Own Account</w:t>
      </w:r>
      <w:r>
        <w:rPr>
          <w:rFonts w:ascii="Times New Roman;Times;Serif" w:hAnsi="Times New Roman;Times;Serif"/>
          <w:b w:val="false"/>
          <w:i w:val="false"/>
          <w:caps w:val="false"/>
          <w:smallCaps w:val="false"/>
          <w:sz w:val="20"/>
        </w:rPr>
        <w:t>. The Purchaser understands that the Securities are “restricted securities” and have not been registered under the Securities Act or any applicable state securities law and is acquiring the Securities as principal for his own account and not with a view to or for distributing or reselling such Securities or any part thereof in violation of the Securities Act or any applicable state securities law, and the Purchaser has no direct or indirect arrangement or understandings with any other persons regarding the distribution of such Securities in violation of the Securities Act or any applicable state securities law. The Purchaser is acquiring the Shares hereunder for investment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Purchaser Status</w:t>
      </w:r>
      <w:r>
        <w:rPr>
          <w:rFonts w:ascii="Times New Roman;Times;Serif" w:hAnsi="Times New Roman;Times;Serif"/>
          <w:b w:val="false"/>
          <w:i w:val="false"/>
          <w:caps w:val="false"/>
          <w:smallCaps w:val="false"/>
          <w:sz w:val="20"/>
        </w:rPr>
        <w:t>. At the time the Purchaser was offered the Securities, he was, and as of the date hereof he is, either: (i) an “accredited investor” as defined in Regulation D promulgated under the Securities Act or (ii) if the offer and sale of the Securities are being made in reliance on Regulation S promulgated under the Securities Act, not a “U.S. person” as defined in Regulation S, not within the United States, and purchasing the Securities in an “offshore transaction”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Experience of the Purchaser</w:t>
      </w:r>
      <w:r>
        <w:rPr>
          <w:rFonts w:ascii="Times New Roman;Times;Serif" w:hAnsi="Times New Roman;Times;Serif"/>
          <w:b w:val="false"/>
          <w:i w:val="false"/>
          <w:caps w:val="false"/>
          <w:smallCaps w:val="false"/>
          <w:sz w:val="20"/>
        </w:rPr>
        <w:t>. The Purchaser, either alone or together with his representatives, has such knowledge, sophistication, and experience in business and financial matters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General Solicitation</w:t>
      </w:r>
      <w:r>
        <w:rPr>
          <w:rFonts w:ascii="Times New Roman;Times;Serif" w:hAnsi="Times New Roman;Times;Serif"/>
          <w:b w:val="false"/>
          <w:i w:val="false"/>
          <w:caps w:val="false"/>
          <w:smallCaps w:val="false"/>
          <w:sz w:val="20"/>
        </w:rPr>
        <w:t>. The Purchaser is not purchasing the Securities as a result of any advertisement, article, notice, or other communication regarding the Securities published in any newspaper, magazine, or similar media or broadcast over television or radio or presented at any seminar or as a result of any other general solicitation or general advertisement, nor is the Purchaser purchasing the Securities as a result of any “directed selling efforts” as defined in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xml:space="preserve">. The Purchaser acknowledges that he has had the opportunity to review the Transaction Documents (including all exhibits and schedules thereto) and all filings with the SEC by the Company and has been afforded: (i) the opportunity to ask such questions as he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him to evaluate his investment; and (iii) the opportunity to obtain such additional information as the Company possesses or can acquire without unreasonable effort or expense that is necessary to make an informed investment decision with respect to the investment. </w:t>
      </w:r>
      <w:r>
        <w:rPr>
          <w:rFonts w:ascii="Times New Roman;Times;Serif" w:hAnsi="Times New Roman;Times;Serif"/>
          <w:b/>
          <w:i w:val="false"/>
          <w:caps w:val="false"/>
          <w:smallCaps w:val="false"/>
          <w:sz w:val="20"/>
        </w:rPr>
        <w:t>THE PURCHASER EXPRESSLY CONFIRMS AND ACKNOWLEDGES THE DUAL-CLASS STOCK STRUCTURE OF THE COMPANY, AND UNDERSTANDS THAT THE CLASS A COMMON STOCK OF THE COMPANY ENTITLES THE HOLDER TO ONE (1) VOTE FOR EACH SHARE OF CLASS A COMMON STOCK HELD, AND THE CLASS B COMMON STOCK OF THE COMPANY ENTITLES THE HOLDER TO FIFTEEN (15) VOTES FOR EACH SHARE OF CLASS B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the Purchaser that is a multi-managed investment vehicle whereby separate portfolio managers manage separate portions of the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Reliance on Exemptions; Opinion.</w:t>
      </w:r>
      <w:r>
        <w:rPr>
          <w:rFonts w:ascii="Times New Roman;Times;Serif" w:hAnsi="Times New Roman;Times;Serif"/>
          <w:b w:val="false"/>
          <w:i w:val="false"/>
          <w:caps w:val="false"/>
          <w:smallCaps w:val="false"/>
          <w:sz w:val="20"/>
        </w:rPr>
        <w:t xml:space="preserve"> The Purchaser understands that (1) the offering of the Shares has not and will not be registered under the Securities Act, (2) the Shares will be “restricted securities” (as that term is defined under Rule 144(a)(3) of the Securities Act and such Shares may not be resold unless they are registered under the Securities Act or an exemption from registration is available), (3) the Shares are being offered and sold to each Investor in reliance on specific exemptions from the registration requirements of United States federal and state securities Laws, and (4) the Company is relying in part upon the truth and accuracy of, and each Investor’s compliance with, the representations, warranties, agreements, acknowledgments and understandings of each Investor set forth herein in order to determine the availability of such exemptions and the eligibility of each Investor to acquire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val="false"/>
          <w:i w:val="false"/>
          <w:caps w:val="false"/>
          <w:smallCaps w:val="false"/>
          <w:sz w:val="20"/>
        </w:rPr>
        <w:t>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Securities are “restricted securities” and may only be disposed of in compliance with state and federal securities laws. In connection with any transfer of Securities other than pursuant to an effective registration statement or Rule 144, to the Company, to an Affiliate of a Purchaser, in accordance with Regulation S, or in connection with a pledge as contemplated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agrees to the imprinting, so long as is required by applicable law and regulation, of a legend on any of the Securities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BEEN]/[NEITHER THIS SECURITY NOR THE SECURITIES FOR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Certificates or book-entry statements evidencing the Securities shall not contain any legend (including the legend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hereof) only (i) while a registration statement covering the resale of such security is effective under the Securities Act, (ii) following any sale of such Securities pursuant to Rule 144, (iii) if such Securities are eligible for sale under Rule 144, or (iv) if such legend is not required under applicable requirements of the Securities Act (including judicial interpretations and pronouncements issued by the staff of the Commission). The Purchaser shall cause qualified counsel to issue a legal opinion to the Transfer Agent or the Purchaser if required by the Transfer Agent to effect the removal of the legend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 Disclosure; Publicity</w:t>
      </w:r>
      <w:r>
        <w:rPr>
          <w:rFonts w:ascii="Times New Roman;Times;Serif" w:hAnsi="Times New Roman;Times;Serif"/>
          <w:b w:val="false"/>
          <w:i w:val="false"/>
          <w:caps w:val="false"/>
          <w:smallCaps w:val="false"/>
          <w:sz w:val="20"/>
        </w:rPr>
        <w:t>. If required by law, the Company shall file a Current Report on Form 8-K, including the Transaction Documents as exhibits thereto, with the Commission within the time required by the Exchange Act.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any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the Purchaser is an “Acquiring Person”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which shall be disclosed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Company covenants and agrees that neither it nor any other Person acting on its behalf will provide the Purchaser or his, her, or its agents or counsel with any information that constitutes, or that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fast publicly announced pursuant to the initial press release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a current report or filing with the SEC. Each Purchaser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current report or filing with the SEC, such Purchaser will maintain the confidentiality of the existence and terms of this transaction and the information included in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Form D</w:t>
      </w:r>
      <w:r>
        <w:rPr>
          <w:rFonts w:ascii="Times New Roman;Times;Serif" w:hAnsi="Times New Roman;Times;Serif"/>
          <w:b w:val="false"/>
          <w:i w:val="false"/>
          <w:caps w:val="false"/>
          <w:smallCaps w:val="false"/>
          <w:sz w:val="20"/>
        </w:rPr>
        <w:t>. If required by law, the Company agrees to timely file a Form D with the Commission with respect to the Securities as required under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the Company with written notice to the Purchaser, if the Closing has not been consummated on or before July 15, 2026;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termination will affect the right of any party to sue for any breach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fourth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holders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such Purchaser assigns or transfers any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transferee agrees in writing to be bound, with respect to the transferred Securities, by the provisions of the Transaction Documents that apply to such assigning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 and Dispute Resolution</w:t>
      </w:r>
      <w:r>
        <w:rPr>
          <w:rFonts w:ascii="Times New Roman;Times;Serif" w:hAnsi="Times New Roman;Times;Serif"/>
          <w:b w:val="false"/>
          <w:i w:val="false"/>
          <w:caps w:val="false"/>
          <w:smallCaps w:val="false"/>
          <w:sz w:val="20"/>
        </w:rPr>
        <w:t>. All questions concerning the construction, validity, enforcement and interpretation of this Agreement and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the Transaction Documents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that such court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the Transaction Documents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Agreement and the Transaction Documents,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hereto agree that each of them and/or their respective counsel have reviewed and had an opportunity to revise the Transaction Documents and, therefore, the rule of construction to the effect that any ambiguities are to be resolved against the drafting party shall not be employed in the interpretation of the Transaction Documents or any amendments thereto. In addition, each and every reference to share prices and Class B Common Stock in any Transaction Document shall be subject to adjustment for reverse and forward stock splits, stock dividends, stock combinations, and other similar transactions of Class B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EACH OF THE PARTIES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color w:val="170000"/>
          <w:sz w:val="20"/>
        </w:rPr>
      </w:pPr>
      <w:r>
        <w:rPr>
          <w:rFonts w:ascii="Times New Roman;Times;Serif" w:hAnsi="Times New Roman;Times;Serif"/>
          <w:b w:val="false"/>
          <w:i/>
          <w:caps w:val="false"/>
          <w:smallCaps w:val="false"/>
          <w:color w:val="170000"/>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6244" w:type="dxa"/>
        <w:jc w:val="left"/>
        <w:tblInd w:w="0" w:type="dxa"/>
        <w:tblLayout w:type="fixed"/>
        <w:tblCellMar>
          <w:top w:w="0" w:type="dxa"/>
          <w:left w:w="0" w:type="dxa"/>
          <w:bottom w:w="0" w:type="dxa"/>
          <w:right w:w="0" w:type="dxa"/>
        </w:tblCellMar>
      </w:tblPr>
      <w:tblGrid>
        <w:gridCol w:w="75"/>
        <w:gridCol w:w="1598"/>
        <w:gridCol w:w="4571"/>
      </w:tblGrid>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Huan Liu</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 Director, and Chairman of Board of Directors</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notices: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Cheetah Net Supply Chain Service Inc.</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8707 Research Drive</w:t>
            </w:r>
          </w:p>
        </w:tc>
      </w:tr>
      <w:tr>
        <w:trPr/>
        <w:tc>
          <w:tcPr>
            <w:tcW w:w="75" w:type="dxa"/>
            <w:tcBorders/>
            <w:vAlign w:val="center"/>
          </w:tcPr>
          <w:p>
            <w:pPr>
              <w:pStyle w:val="TableContents"/>
              <w:bidi w:val="0"/>
              <w:spacing w:before="0" w:after="283"/>
              <w:jc w:val="left"/>
              <w:rPr/>
            </w:pPr>
            <w:r>
              <w:rPr/>
              <w:t> </w:t>
            </w:r>
          </w:p>
        </w:tc>
        <w:tc>
          <w:tcPr>
            <w:tcW w:w="6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92618,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75"/>
        <w:gridCol w:w="320"/>
        <w:gridCol w:w="855"/>
      </w:tblGrid>
      <w:tr>
        <w:trPr/>
        <w:tc>
          <w:tcPr>
            <w:tcW w:w="75"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75"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Liu</w:t>
            </w:r>
          </w:p>
        </w:tc>
      </w:tr>
      <w:tr>
        <w:trPr/>
        <w:tc>
          <w:tcPr>
            <w:tcW w:w="75"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7512</Words>
  <Characters>39887</Characters>
  <CharactersWithSpaces>48110</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