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ctnt-20260630x10q.htm"/>
        <w:bookmarkStart w:id="1" w:name="ksctnt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4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 w:name="_3f232d13_b354_47b6_a5d2_1fa4385b4f84"/>
      <w:bookmarkEnd w:id="2"/>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120"/>
        <w:ind w:left="0" w:right="0" w:hanging="0"/>
        <w:jc w:val="center"/>
        <w:rPr/>
      </w:pPr>
      <w:r>
        <w:rPr/>
        <w:t>☒ </w:t>
      </w:r>
      <w:r>
        <w:rPr>
          <w:rFonts w:ascii="Times New Roman;Times;serif" w:hAnsi="Times New Roman;Times;serif"/>
          <w:b/>
          <w:sz w:val="20"/>
        </w:rPr>
        <w:t>QUARTERLY REPORT PURSUANT TO SECTION 13 OR 15(d) OF THE SECURITIES EXCHANGE ACT OF 1934</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June 30, 2026</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120"/>
        <w:ind w:left="0" w:right="0" w:hanging="0"/>
        <w:jc w:val="center"/>
        <w:rPr/>
      </w:pPr>
      <w:r>
        <w:rPr/>
        <w:t>☐ </w:t>
      </w:r>
      <w:r>
        <w:rPr>
          <w:rFonts w:ascii="Times New Roman;Times;serif" w:hAnsi="Times New Roman;Times;serif"/>
          <w:b/>
          <w:sz w:val="20"/>
        </w:rPr>
        <w:t>TRANSITION REPORT PURSUANT TO SECTION 13 OR 15(d) OF THE SECURITIES EXCHANGE ACT OF 1934</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For the transition period from                 to</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Commission File Number: 001-41761</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Cheetah Net Supply Chain Service Inc.</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Normal"/>
        <w:bidi w:val="0"/>
        <w:spacing w:before="0" w:after="0"/>
        <w:jc w:val="left"/>
        <w:rPr>
          <w:sz w:val="4"/>
          <w:szCs w:val="4"/>
        </w:rPr>
      </w:pPr>
      <w:r>
        <w:rPr>
          <w:sz w:val="4"/>
          <w:szCs w:val="4"/>
        </w:rPr>
      </w:r>
      <w:bookmarkStart w:id="3" w:name="Tc_Cgrhmn0ISkCm_lJowq02Tw_2_2"/>
      <w:bookmarkStart w:id="4" w:name="Tc_AgUS3C0nYU2Mx_lSmsZSVQ_2_0"/>
      <w:bookmarkStart w:id="5" w:name="_5424cddd_a22a_4ef8_aa7c_802e3d93e8ee"/>
      <w:bookmarkStart w:id="6" w:name="Tc_Cgrhmn0ISkCm_lJowq02Tw_2_2"/>
      <w:bookmarkStart w:id="7" w:name="Tc_AgUS3C0nYU2Mx_lSmsZSVQ_2_0"/>
      <w:bookmarkStart w:id="8" w:name="_5424cddd_a22a_4ef8_aa7c_802e3d93e8ee"/>
      <w:bookmarkEnd w:id="6"/>
      <w:bookmarkEnd w:id="7"/>
      <w:bookmarkEnd w:id="8"/>
    </w:p>
    <w:tbl>
      <w:tblPr>
        <w:tblW w:w="4773" w:type="dxa"/>
        <w:jc w:val="left"/>
        <w:tblInd w:w="0" w:type="dxa"/>
        <w:tblLayout w:type="fixed"/>
        <w:tblCellMar>
          <w:top w:w="0" w:type="dxa"/>
          <w:left w:w="0" w:type="dxa"/>
          <w:bottom w:w="0" w:type="dxa"/>
          <w:right w:w="0" w:type="dxa"/>
        </w:tblCellMar>
      </w:tblPr>
      <w:tblGrid>
        <w:gridCol w:w="2746"/>
        <w:gridCol w:w="346"/>
        <w:gridCol w:w="1681"/>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743710" cy="175260"/>
                      <wp:effectExtent l="0" t="0" r="0" b="0"/>
                      <wp:wrapNone/>
                      <wp:docPr id="1" name="Frame1"/>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067435" cy="175260"/>
                      <wp:effectExtent l="0" t="0" r="0" b="0"/>
                      <wp:wrapNone/>
                      <wp:docPr id="2" name="Frame2"/>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46" w:type="dxa"/>
            <w:tcBorders/>
            <w:vAlign w:val="center"/>
          </w:tcPr>
          <w:p>
            <w:pPr>
              <w:pStyle w:val="TableContents"/>
              <w:bidi w:val="0"/>
              <w:spacing w:before="0" w:after="0"/>
              <w:ind w:left="0" w:right="0" w:hanging="0"/>
              <w:jc w:val="center"/>
              <w:rPr/>
            </w:pPr>
            <w:r>
              <w:rPr/>
              <w:t>  ​ ​ ​</w:t>
            </w:r>
          </w:p>
        </w:tc>
        <w:tc>
          <w:tcPr>
            <w:tcW w:w="16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81-3509120</w:t>
            </w:r>
          </w:p>
        </w:tc>
      </w:tr>
      <w:tr>
        <w:trPr/>
        <w:tc>
          <w:tcPr>
            <w:tcW w:w="274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(State or other jurisdiction of</w:t>
              <w:br/>
              <w:t>incorporation or organization)</w:t>
            </w:r>
          </w:p>
        </w:tc>
        <w:tc>
          <w:tcPr>
            <w:tcW w:w="346" w:type="dxa"/>
            <w:tcBorders/>
            <w:vAlign w:val="center"/>
          </w:tcPr>
          <w:p>
            <w:pPr>
              <w:pStyle w:val="TableContents"/>
              <w:bidi w:val="0"/>
              <w:spacing w:before="0" w:after="0"/>
              <w:ind w:left="0" w:right="0" w:hanging="0"/>
              <w:jc w:val="center"/>
              <w:rPr/>
            </w:pPr>
            <w:r>
              <w:rPr/>
              <w:t>​</w:t>
            </w:r>
          </w:p>
        </w:tc>
        <w:tc>
          <w:tcPr>
            <w:tcW w:w="168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(I.R.S. Employer</w:t>
              <w:b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8707 Research Drive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Irvine, California</w:t>
      </w:r>
      <w:r>
        <w:rPr>
          <w:rFonts w:ascii="Times New Roman;Times;serif" w:hAnsi="Times New Roman;Times;serif"/>
          <w:sz w:val="20"/>
        </w:rPr>
        <w:t xml:space="preserve"> </w:t>
      </w:r>
      <w:r>
        <w:rPr>
          <w:rFonts w:ascii="Times New Roman;Times;serif" w:hAnsi="Times New Roman;Times;serif"/>
          <w:b/>
          <w:sz w:val="20"/>
        </w:rPr>
        <w:t>92618</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 (Zip Code)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(949) 740-7799</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N/A</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(Former name, former address and former fiscal year, if changed since last report)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Normal"/>
        <w:bidi w:val="0"/>
        <w:spacing w:before="0" w:after="0"/>
        <w:jc w:val="left"/>
        <w:rPr>
          <w:sz w:val="4"/>
          <w:szCs w:val="4"/>
        </w:rPr>
      </w:pPr>
      <w:r>
        <w:rPr>
          <w:sz w:val="4"/>
          <w:szCs w:val="4"/>
        </w:rPr>
      </w:r>
      <w:bookmarkStart w:id="9" w:name="Tc_lsCJktdWc0iWx_7cI08ZPg_2_4"/>
      <w:bookmarkStart w:id="10" w:name="Tc_qWj9lOu4v0W4DqEE4Y4GsQ_1_4"/>
      <w:bookmarkStart w:id="11" w:name="Tc_NiFIZjMtgU-tuDP15yFF3w_1_2"/>
      <w:bookmarkStart w:id="12" w:name="Tc_O3jmtnpGJUK97hSqs4unhg_1_0"/>
      <w:bookmarkStart w:id="13" w:name="_6e3ca8b5_e46d_48d6_b931_4874bd001d1a"/>
      <w:bookmarkStart w:id="14" w:name="Tc_lsCJktdWc0iWx_7cI08ZPg_2_4"/>
      <w:bookmarkStart w:id="15" w:name="Tc_qWj9lOu4v0W4DqEE4Y4GsQ_1_4"/>
      <w:bookmarkStart w:id="16" w:name="Tc_NiFIZjMtgU-tuDP15yFF3w_1_2"/>
      <w:bookmarkStart w:id="17" w:name="Tc_O3jmtnpGJUK97hSqs4unhg_1_0"/>
      <w:bookmarkStart w:id="18" w:name="_6e3ca8b5_e46d_48d6_b931_4874bd001d1a"/>
      <w:bookmarkEnd w:id="14"/>
      <w:bookmarkEnd w:id="15"/>
      <w:bookmarkEnd w:id="16"/>
      <w:bookmarkEnd w:id="17"/>
      <w:bookmarkEnd w:id="18"/>
    </w:p>
    <w:tbl>
      <w:tblPr>
        <w:tblW w:w="10205" w:type="dxa"/>
        <w:jc w:val="left"/>
        <w:tblInd w:w="0" w:type="dxa"/>
        <w:tblLayout w:type="fixed"/>
        <w:tblCellMar>
          <w:top w:w="0" w:type="dxa"/>
          <w:left w:w="0" w:type="dxa"/>
          <w:bottom w:w="0" w:type="dxa"/>
          <w:right w:w="0" w:type="dxa"/>
        </w:tblCellMar>
      </w:tblPr>
      <w:tblGrid>
        <w:gridCol w:w="4146"/>
        <w:gridCol w:w="346"/>
        <w:gridCol w:w="1658"/>
        <w:gridCol w:w="346"/>
        <w:gridCol w:w="3709"/>
      </w:tblGrid>
      <w:tr>
        <w:trPr/>
        <w:tc>
          <w:tcPr>
            <w:tcW w:w="4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632710" cy="175260"/>
                      <wp:effectExtent l="0" t="0" r="0" b="0"/>
                      <wp:wrapNone/>
                      <wp:docPr id="3" name="Frame3"/>
                      <a:graphic xmlns:a="http://schemas.openxmlformats.org/drawingml/2006/main">
                        <a:graphicData uri="http://schemas.microsoft.com/office/word/2010/wordprocessingShape">
                          <wps:wsp>
                            <wps:cNvSpPr txBox="1"/>
                            <wps:spPr>
                              <a:xfrm>
                                <a:off x="0" y="0"/>
                                <a:ext cx="263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4" name="Frame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052830" cy="175260"/>
                      <wp:effectExtent l="0" t="0" r="0" b="0"/>
                      <wp:wrapNone/>
                      <wp:docPr id="5" name="Frame5"/>
                      <a:graphic xmlns:a="http://schemas.openxmlformats.org/drawingml/2006/main">
                        <a:graphicData uri="http://schemas.microsoft.com/office/word/2010/wordprocessingShape">
                          <wps:wsp>
                            <wps:cNvSpPr txBox="1"/>
                            <wps:spPr>
                              <a:xfrm>
                                <a:off x="0" y="0"/>
                                <a:ext cx="1052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6" name="Frame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355215" cy="175260"/>
                      <wp:effectExtent l="0" t="0" r="0" b="0"/>
                      <wp:wrapNone/>
                      <wp:docPr id="7" name="Frame7"/>
                      <a:graphic xmlns:a="http://schemas.openxmlformats.org/drawingml/2006/main">
                        <a:graphicData uri="http://schemas.microsoft.com/office/word/2010/wordprocessingShape">
                          <wps:wsp>
                            <wps:cNvSpPr txBox="1"/>
                            <wps:spPr>
                              <a:xfrm>
                                <a:off x="0" y="0"/>
                                <a:ext cx="2355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165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370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4146" w:type="dxa"/>
            <w:tcBorders>
              <w:top w:val="single" w:sz="2" w:space="0" w:color="000000"/>
            </w:tcBorders>
            <w:shd w:fill="CCEEFF" w:val="clear"/>
            <w:tcMar>
              <w:top w:w="28"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Class A common stock, par value $0.0001 per share</w:t>
            </w:r>
          </w:p>
        </w:tc>
        <w:tc>
          <w:tcPr>
            <w:tcW w:w="346" w:type="dxa"/>
            <w:tcBorders/>
            <w:shd w:fill="CCEEFF" w:val="clear"/>
            <w:vAlign w:val="center"/>
          </w:tcPr>
          <w:p>
            <w:pPr>
              <w:pStyle w:val="TableContents"/>
              <w:bidi w:val="0"/>
              <w:spacing w:before="0" w:after="0"/>
              <w:ind w:left="0" w:right="0" w:hanging="0"/>
              <w:jc w:val="center"/>
              <w:rPr/>
            </w:pPr>
            <w:r>
              <w:rPr/>
              <w:t>​</w:t>
            </w:r>
          </w:p>
        </w:tc>
        <w:tc>
          <w:tcPr>
            <w:tcW w:w="1658"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CTNT</w:t>
            </w:r>
          </w:p>
        </w:tc>
        <w:tc>
          <w:tcPr>
            <w:tcW w:w="346" w:type="dxa"/>
            <w:tcBorders/>
            <w:shd w:fill="CCEEFF" w:val="clear"/>
            <w:vAlign w:val="center"/>
          </w:tcPr>
          <w:p>
            <w:pPr>
              <w:pStyle w:val="TableContents"/>
              <w:bidi w:val="0"/>
              <w:spacing w:before="0" w:after="0"/>
              <w:ind w:left="0" w:right="0" w:hanging="0"/>
              <w:jc w:val="center"/>
              <w:rPr/>
            </w:pPr>
            <w:r>
              <w:rPr/>
              <w:t>​</w:t>
            </w:r>
          </w:p>
        </w:tc>
        <w:tc>
          <w:tcPr>
            <w:tcW w:w="3709"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9" w:name="Tc_CYqpMIh7gUGs-diG6dRr9g_3_3"/>
      <w:bookmarkStart w:id="20" w:name="Tc_Ojhprmvf7Uu48aJCqTW3Vg_2_3"/>
      <w:bookmarkStart w:id="21" w:name="Tc_ubQHlvnaZEO29VUAouHnkQ_2_1"/>
      <w:bookmarkStart w:id="22" w:name="Tc_uS98OVrLlkSWugbu6JQGAg_1_4"/>
      <w:bookmarkStart w:id="23" w:name="Tc_7RV36L6xqUWPlk_6otABDQ_1_3"/>
      <w:bookmarkStart w:id="24" w:name="Tc_-aEiDZOKFkCBnsEWWNAWvw_1_1"/>
      <w:bookmarkStart w:id="25" w:name="Tc_m1dLdwGPeE2DGfJGfl84aw_1_0"/>
      <w:bookmarkStart w:id="26" w:name="_84a76348_a270_4ba4_a6e5_86370631d499"/>
      <w:bookmarkStart w:id="27" w:name="Tc_CYqpMIh7gUGs-diG6dRr9g_3_3"/>
      <w:bookmarkStart w:id="28" w:name="Tc_Ojhprmvf7Uu48aJCqTW3Vg_2_3"/>
      <w:bookmarkStart w:id="29" w:name="Tc_ubQHlvnaZEO29VUAouHnkQ_2_1"/>
      <w:bookmarkStart w:id="30" w:name="Tc_uS98OVrLlkSWugbu6JQGAg_1_4"/>
      <w:bookmarkStart w:id="31" w:name="Tc_7RV36L6xqUWPlk_6otABDQ_1_3"/>
      <w:bookmarkStart w:id="32" w:name="Tc_-aEiDZOKFkCBnsEWWNAWvw_1_1"/>
      <w:bookmarkStart w:id="33" w:name="Tc_m1dLdwGPeE2DGfJGfl84aw_1_0"/>
      <w:bookmarkStart w:id="34" w:name="_84a76348_a270_4ba4_a6e5_86370631d499"/>
      <w:bookmarkEnd w:id="27"/>
      <w:bookmarkEnd w:id="28"/>
      <w:bookmarkEnd w:id="29"/>
      <w:bookmarkEnd w:id="30"/>
      <w:bookmarkEnd w:id="31"/>
      <w:bookmarkEnd w:id="32"/>
      <w:bookmarkEnd w:id="33"/>
      <w:bookmarkEnd w:id="34"/>
    </w:p>
    <w:tbl>
      <w:tblPr>
        <w:tblW w:w="5255" w:type="dxa"/>
        <w:jc w:val="left"/>
        <w:tblInd w:w="0" w:type="dxa"/>
        <w:tblLayout w:type="fixed"/>
        <w:tblCellMar>
          <w:top w:w="0" w:type="dxa"/>
          <w:left w:w="0" w:type="dxa"/>
          <w:bottom w:w="0" w:type="dxa"/>
          <w:right w:w="0" w:type="dxa"/>
        </w:tblCellMar>
      </w:tblPr>
      <w:tblGrid>
        <w:gridCol w:w="1921"/>
        <w:gridCol w:w="316"/>
        <w:gridCol w:w="346"/>
        <w:gridCol w:w="2311"/>
        <w:gridCol w:w="361"/>
      </w:tblGrid>
      <w:tr>
        <w:trPr/>
        <w:tc>
          <w:tcPr>
            <w:tcW w:w="192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w:t>
            </w:r>
          </w:p>
        </w:tc>
        <w:tc>
          <w:tcPr>
            <w:tcW w:w="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w:t>
            </w:r>
          </w:p>
        </w:tc>
        <w:tc>
          <w:tcPr>
            <w:tcW w:w="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August 10, 2026, there were 2,955,935 shares of Class A common stock and 203,456 shares of Class B common stock, par value $0.0001 per share, outstanding.</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240"/>
        <w:ind w:left="0" w:right="0" w:hanging="0"/>
        <w:jc w:val="center"/>
        <w:rPr/>
      </w:pPr>
      <w:r>
        <w:rPr/>
        <w:t>​</w:t>
      </w:r>
    </w:p>
    <w:p>
      <w:pPr>
        <w:pStyle w:val="TextBody"/>
        <w:bidi w:val="0"/>
        <w:spacing w:before="0" w:after="240"/>
        <w:ind w:left="0" w:right="0" w:hanging="0"/>
        <w:jc w:val="both"/>
        <w:rPr/>
      </w:pPr>
      <w:r>
        <w:rPr/>
        <w:t>​</w:t>
      </w:r>
    </w:p>
    <w:p>
      <w:pPr>
        <w:pStyle w:val="TextBody"/>
        <w:bidi w:val="0"/>
        <w:spacing w:before="0" w:after="24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5" w:name="_5e6ecffa_3814_4f5c_868e_5bdfc160bd4c"/>
      <w:bookmarkEnd w:id="35"/>
      <w:r>
        <w:rPr>
          <w:rFonts w:ascii="Times New Roman;Times;serif" w:hAnsi="Times New Roman;Times;serif"/>
          <w:b/>
          <w:sz w:val="20"/>
        </w:rPr>
        <w:t>Cheetah Net Supply Chain Service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June 30, 2026</w:t>
      </w:r>
    </w:p>
    <w:p>
      <w:pPr>
        <w:pStyle w:val="TextBody"/>
        <w:bidi w:val="0"/>
        <w:spacing w:before="0" w:after="240"/>
        <w:ind w:left="0" w:right="0" w:hanging="0"/>
        <w:jc w:val="center"/>
        <w:rPr>
          <w:rFonts w:ascii="Times New Roman;Times;serif" w:hAnsi="Times New Roman;Times;serif"/>
          <w:b/>
          <w:sz w:val="20"/>
        </w:rPr>
      </w:pPr>
      <w:bookmarkStart w:id="36" w:name="TOC"/>
      <w:bookmarkEnd w:id="36"/>
      <w:r>
        <w:rPr>
          <w:rFonts w:ascii="Times New Roman;Times;serif" w:hAnsi="Times New Roman;Times;serif"/>
          <w:b/>
          <w:sz w:val="20"/>
        </w:rPr>
        <w:t>Contents</w:t>
      </w:r>
    </w:p>
    <w:tbl>
      <w:tblPr>
        <w:tblW w:w="10205" w:type="dxa"/>
        <w:jc w:val="left"/>
        <w:tblInd w:w="0" w:type="dxa"/>
        <w:tblLayout w:type="fixed"/>
        <w:tblCellMar>
          <w:top w:w="0" w:type="dxa"/>
          <w:left w:w="0" w:type="dxa"/>
          <w:bottom w:w="0" w:type="dxa"/>
          <w:right w:w="0" w:type="dxa"/>
        </w:tblCellMar>
      </w:tblPr>
      <w:tblGrid>
        <w:gridCol w:w="660"/>
        <w:gridCol w:w="346"/>
        <w:gridCol w:w="8491"/>
        <w:gridCol w:w="346"/>
        <w:gridCol w:w="362"/>
      </w:tblGrid>
      <w:tr>
        <w:trPr/>
        <w:tc>
          <w:tcPr>
            <w:tcW w:w="660" w:type="dxa"/>
            <w:tcBorders/>
            <w:shd w:fill="CCEEFF" w:val="clear"/>
            <w:vAlign w:val="center"/>
          </w:tcPr>
          <w:p>
            <w:pPr>
              <w:pStyle w:val="TableContents"/>
              <w:pBdr/>
              <w:bidi w:val="0"/>
              <w:spacing w:before="0" w:after="0"/>
              <w:ind w:left="0" w:right="0" w:hanging="0"/>
              <w:jc w:val="left"/>
              <w:rPr/>
            </w:pPr>
            <w:hyperlink w:anchor="PARTIFINANCIALINFORMATION_291851">
              <w:r>
                <w:rPr>
                  <w:rStyle w:val="InternetLink"/>
                  <w:rFonts w:ascii="Times New Roman;Times;serif" w:hAnsi="Times New Roman;Times;serif"/>
                  <w:b w:val="false"/>
                  <w:i w:val="false"/>
                  <w:caps w:val="false"/>
                  <w:smallCaps w:val="false"/>
                  <w:sz w:val="20"/>
                </w:rPr>
                <w:t>Part I</w:t>
              </w:r>
            </w:hyperlink>
          </w:p>
        </w:tc>
        <w:tc>
          <w:tcPr>
            <w:tcW w:w="346" w:type="dxa"/>
            <w:tcBorders/>
            <w:shd w:fill="CCEEFF" w:val="clear"/>
            <w:vAlign w:val="center"/>
          </w:tcPr>
          <w:p>
            <w:pPr>
              <w:pStyle w:val="TableContents"/>
              <w:bidi w:val="0"/>
              <w:spacing w:before="0" w:after="0"/>
              <w:ind w:left="0" w:right="0" w:hanging="0"/>
              <w:jc w:val="left"/>
              <w:rPr/>
            </w:pPr>
            <w:r>
              <w:rPr/>
              <w:t>  ​ ​ ​</w:t>
            </w:r>
          </w:p>
        </w:tc>
        <w:tc>
          <w:tcPr>
            <w:tcW w:w="8491" w:type="dxa"/>
            <w:tcBorders/>
            <w:shd w:fill="CCEEFF" w:val="clear"/>
            <w:vAlign w:val="center"/>
          </w:tcPr>
          <w:p>
            <w:pPr>
              <w:pStyle w:val="TableContents"/>
              <w:bidi w:val="0"/>
              <w:spacing w:before="0" w:after="0"/>
              <w:ind w:left="0" w:right="0" w:hanging="0"/>
              <w:jc w:val="left"/>
              <w:rPr/>
            </w:pPr>
            <w:hyperlink w:anchor="PARTIFINANCIALINFORMATION_291851">
              <w:r>
                <w:rPr>
                  <w:rStyle w:val="InternetLink"/>
                  <w:rFonts w:ascii="Times New Roman;Times;serif" w:hAnsi="Times New Roman;Times;serif"/>
                  <w:b w:val="false"/>
                  <w:i w:val="false"/>
                  <w:caps w:val="false"/>
                  <w:smallCaps w:val="false"/>
                  <w:sz w:val="20"/>
                </w:rPr>
                <w:t>Financial Information</w:t>
              </w:r>
            </w:hyperlink>
          </w:p>
        </w:tc>
        <w:tc>
          <w:tcPr>
            <w:tcW w:w="346" w:type="dxa"/>
            <w:tcBorders/>
            <w:shd w:fill="CCEEFF" w:val="clear"/>
            <w:vAlign w:val="center"/>
          </w:tcPr>
          <w:p>
            <w:pPr>
              <w:pStyle w:val="TableContents"/>
              <w:bidi w:val="0"/>
              <w:spacing w:before="0" w:after="0"/>
              <w:ind w:left="0" w:right="0" w:hanging="0"/>
              <w:jc w:val="left"/>
              <w:rPr/>
            </w:pPr>
            <w:r>
              <w:rPr/>
              <w:t>  ​ ​ ​</w:t>
            </w:r>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6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660" w:type="dxa"/>
            <w:tcBorders/>
            <w:shd w:fill="CCEEFF" w:val="clear"/>
            <w:vAlign w:val="center"/>
          </w:tcPr>
          <w:p>
            <w:pPr>
              <w:pStyle w:val="TableContents"/>
              <w:pBdr/>
              <w:bidi w:val="0"/>
              <w:spacing w:before="0" w:after="0"/>
              <w:ind w:left="0" w:right="0" w:hanging="0"/>
              <w:jc w:val="left"/>
              <w:rPr/>
            </w:pPr>
            <w:hyperlink w:anchor="Item1FinancialStatements_157447">
              <w:r>
                <w:rPr>
                  <w:rStyle w:val="InternetLink"/>
                  <w:rFonts w:ascii="Times New Roman;Times;serif" w:hAnsi="Times New Roman;Times;serif"/>
                  <w:b w:val="false"/>
                  <w:i w:val="false"/>
                  <w:caps w:val="false"/>
                  <w:smallCaps w:val="false"/>
                  <w:sz w:val="20"/>
                </w:rPr>
                <w:t>Item 1</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8491" w:type="dxa"/>
            <w:tcBorders/>
            <w:shd w:fill="CCEEFF" w:val="clear"/>
            <w:vAlign w:val="center"/>
          </w:tcPr>
          <w:p>
            <w:pPr>
              <w:pStyle w:val="TableContents"/>
              <w:bidi w:val="0"/>
              <w:spacing w:before="0" w:after="0"/>
              <w:ind w:left="0" w:right="0" w:hanging="0"/>
              <w:jc w:val="left"/>
              <w:rPr/>
            </w:pPr>
            <w:hyperlink w:anchor="Item1FinancialStatements_157447">
              <w:r>
                <w:rPr>
                  <w:rStyle w:val="InternetLink"/>
                  <w:rFonts w:ascii="Times New Roman;Times;serif" w:hAnsi="Times New Roman;Times;serif"/>
                  <w:b w:val="false"/>
                  <w:i w:val="false"/>
                  <w:caps w:val="false"/>
                  <w:smallCaps w:val="false"/>
                  <w:sz w:val="20"/>
                </w:rPr>
                <w:t>Financial Statements</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6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66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491" w:type="dxa"/>
            <w:tcBorders/>
            <w:shd w:fill="CCEEFF" w:val="clear"/>
            <w:vAlign w:val="center"/>
          </w:tcPr>
          <w:p>
            <w:pPr>
              <w:pStyle w:val="TableContents"/>
              <w:bidi w:val="0"/>
              <w:spacing w:before="0" w:after="0"/>
              <w:ind w:left="0" w:right="0" w:hanging="0"/>
              <w:jc w:val="left"/>
              <w:rPr/>
            </w:pPr>
            <w:hyperlink w:anchor="UNAUDITEDCONDENSEDCONSOLIDATEDBALANCESHE">
              <w:r>
                <w:rPr>
                  <w:rStyle w:val="InternetLink"/>
                  <w:rFonts w:ascii="Times New Roman;Times;serif" w:hAnsi="Times New Roman;Times;serif"/>
                  <w:b w:val="false"/>
                  <w:i w:val="false"/>
                  <w:caps w:val="false"/>
                  <w:smallCaps w:val="false"/>
                  <w:sz w:val="20"/>
                </w:rPr>
                <w:t>Condensed Consolidated Balance Sheets as of June 30, 2026 (Unaudited) and December 31, 2025</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6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66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491" w:type="dxa"/>
            <w:tcBorders/>
            <w:shd w:fill="CCEEFF" w:val="clear"/>
            <w:vAlign w:val="center"/>
          </w:tcPr>
          <w:p>
            <w:pPr>
              <w:pStyle w:val="TableContents"/>
              <w:bidi w:val="0"/>
              <w:spacing w:before="0" w:after="0"/>
              <w:ind w:left="0" w:right="0" w:hanging="0"/>
              <w:jc w:val="left"/>
              <w:rPr/>
            </w:pPr>
            <w:hyperlink w:anchor="STATEMENTSOFOPERATIONS_453258">
              <w:r>
                <w:rPr>
                  <w:rStyle w:val="InternetLink"/>
                  <w:rFonts w:ascii="Times New Roman;Times;serif" w:hAnsi="Times New Roman;Times;serif"/>
                  <w:b w:val="false"/>
                  <w:i w:val="false"/>
                  <w:caps w:val="false"/>
                  <w:smallCaps w:val="false"/>
                  <w:sz w:val="20"/>
                </w:rPr>
                <w:t>Condensed Consolidated Statements of Operations for the Three Months and Six Months Ended June 30, 2026 and 2025 (Unaudited)</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6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66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491" w:type="dxa"/>
            <w:tcBorders/>
            <w:shd w:fill="CCEEFF" w:val="clear"/>
            <w:vAlign w:val="center"/>
          </w:tcPr>
          <w:p>
            <w:pPr>
              <w:pStyle w:val="TableContents"/>
              <w:bidi w:val="0"/>
              <w:spacing w:before="0" w:after="0"/>
              <w:ind w:left="0" w:right="0" w:hanging="0"/>
              <w:jc w:val="left"/>
              <w:rPr/>
            </w:pPr>
            <w:hyperlink w:anchor="STATEMENTSOFCHANGESINSTOCKHOLDERSEQUITY_">
              <w:r>
                <w:rPr>
                  <w:rStyle w:val="InternetLink"/>
                  <w:rFonts w:ascii="Times New Roman;Times;serif" w:hAnsi="Times New Roman;Times;serif"/>
                  <w:b w:val="false"/>
                  <w:i w:val="false"/>
                  <w:caps w:val="false"/>
                  <w:smallCaps w:val="false"/>
                  <w:sz w:val="20"/>
                </w:rPr>
                <w:t>Condensed Consolidated Statements of Changes in Stockholders’ Equity for the Three Months and Six Months Ended June 30, 2026 and 2025 (Unaudited)</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6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66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491" w:type="dxa"/>
            <w:tcBorders/>
            <w:shd w:fill="CCEEFF" w:val="clear"/>
            <w:vAlign w:val="center"/>
          </w:tcPr>
          <w:p>
            <w:pPr>
              <w:pStyle w:val="TableContents"/>
              <w:bidi w:val="0"/>
              <w:spacing w:before="0" w:after="0"/>
              <w:ind w:left="0" w:right="0" w:hanging="0"/>
              <w:jc w:val="left"/>
              <w:rPr/>
            </w:pPr>
            <w:hyperlink w:anchor="STATEMENTSOFCASHFLOWS_989400">
              <w:r>
                <w:rPr>
                  <w:rStyle w:val="InternetLink"/>
                  <w:rFonts w:ascii="Times New Roman;Times;serif" w:hAnsi="Times New Roman;Times;serif"/>
                  <w:b w:val="false"/>
                  <w:i w:val="false"/>
                  <w:caps w:val="false"/>
                  <w:smallCaps w:val="false"/>
                  <w:sz w:val="20"/>
                </w:rPr>
                <w:t>Condensed Consolidated Statements of Cash Flows for the Six Months Ended June 30, 2026 and 2025 (Unaudited)</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6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66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491" w:type="dxa"/>
            <w:tcBorders/>
            <w:shd w:fill="CCEEFF" w:val="clear"/>
            <w:vAlign w:val="center"/>
          </w:tcPr>
          <w:p>
            <w:pPr>
              <w:pStyle w:val="TableContents"/>
              <w:bidi w:val="0"/>
              <w:spacing w:before="0" w:after="0"/>
              <w:ind w:left="0" w:right="0" w:hanging="0"/>
              <w:jc w:val="left"/>
              <w:rPr/>
            </w:pPr>
            <w:hyperlink w:anchor="NOTESTOUNAUDITEDCONDENSEDCONSOLIDATEDFIN">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6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660" w:type="dxa"/>
            <w:tcBorders/>
            <w:shd w:fill="CCEEFF" w:val="clear"/>
            <w:vAlign w:val="center"/>
          </w:tcPr>
          <w:p>
            <w:pPr>
              <w:pStyle w:val="TableContents"/>
              <w:pBdr/>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8491" w:type="dxa"/>
            <w:tcBorders/>
            <w:shd w:fill="CCEEFF" w:val="clear"/>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6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660" w:type="dxa"/>
            <w:tcBorders/>
            <w:shd w:fill="CCEEFF" w:val="clear"/>
            <w:vAlign w:val="center"/>
          </w:tcPr>
          <w:p>
            <w:pPr>
              <w:pStyle w:val="TableContents"/>
              <w:pBdr/>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8491" w:type="dxa"/>
            <w:tcBorders/>
            <w:shd w:fill="CCEEFF" w:val="clear"/>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6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660" w:type="dxa"/>
            <w:tcBorders/>
            <w:shd w:fill="CCEEFF" w:val="clear"/>
            <w:vAlign w:val="center"/>
          </w:tcPr>
          <w:p>
            <w:pPr>
              <w:pStyle w:val="TableContents"/>
              <w:pBdr/>
              <w:bidi w:val="0"/>
              <w:spacing w:before="0" w:after="0"/>
              <w:ind w:left="0" w:right="0" w:hanging="0"/>
              <w:jc w:val="left"/>
              <w:rPr/>
            </w:pPr>
            <w:hyperlink w:anchor="Item4ControlsandProcedures_521476">
              <w:r>
                <w:rPr>
                  <w:rStyle w:val="InternetLink"/>
                  <w:rFonts w:ascii="Times New Roman;Times;serif" w:hAnsi="Times New Roman;Times;serif"/>
                  <w:b w:val="false"/>
                  <w:i w:val="false"/>
                  <w:caps w:val="false"/>
                  <w:smallCaps w:val="false"/>
                  <w:sz w:val="20"/>
                </w:rPr>
                <w:t>Item 4</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8491" w:type="dxa"/>
            <w:tcBorders/>
            <w:shd w:fill="CCEEFF" w:val="clear"/>
            <w:vAlign w:val="center"/>
          </w:tcPr>
          <w:p>
            <w:pPr>
              <w:pStyle w:val="TableContents"/>
              <w:bidi w:val="0"/>
              <w:spacing w:before="0" w:after="0"/>
              <w:ind w:left="0" w:right="0" w:hanging="0"/>
              <w:jc w:val="left"/>
              <w:rPr/>
            </w:pPr>
            <w:hyperlink w:anchor="Item4ControlsandProcedures_521476">
              <w:r>
                <w:rPr>
                  <w:rStyle w:val="InternetLink"/>
                  <w:rFonts w:ascii="Times New Roman;Times;serif" w:hAnsi="Times New Roman;Times;serif"/>
                  <w:b w:val="false"/>
                  <w:i w:val="false"/>
                  <w:caps w:val="false"/>
                  <w:smallCaps w:val="false"/>
                  <w:sz w:val="20"/>
                </w:rPr>
                <w:t>Controls and Procedures</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6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660" w:type="dxa"/>
            <w:tcBorders/>
            <w:shd w:fill="CCEEFF" w:val="clear"/>
            <w:vAlign w:val="center"/>
          </w:tcPr>
          <w:p>
            <w:pPr>
              <w:pStyle w:val="TableContents"/>
              <w:pBdr/>
              <w:bidi w:val="0"/>
              <w:spacing w:before="0" w:after="0"/>
              <w:ind w:left="0" w:right="0" w:hanging="0"/>
              <w:jc w:val="left"/>
              <w:rPr/>
            </w:pPr>
            <w:hyperlink w:anchor="PARTIIOTHERINFORMATION_538776">
              <w:r>
                <w:rPr>
                  <w:rStyle w:val="InternetLink"/>
                  <w:rFonts w:ascii="Times New Roman;Times;serif" w:hAnsi="Times New Roman;Times;serif"/>
                  <w:b w:val="false"/>
                  <w:i w:val="false"/>
                  <w:caps w:val="false"/>
                  <w:smallCaps w:val="false"/>
                  <w:sz w:val="20"/>
                </w:rPr>
                <w:t>Part II</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8491" w:type="dxa"/>
            <w:tcBorders/>
            <w:shd w:fill="CCEEFF" w:val="clear"/>
            <w:vAlign w:val="center"/>
          </w:tcPr>
          <w:p>
            <w:pPr>
              <w:pStyle w:val="TableContents"/>
              <w:bidi w:val="0"/>
              <w:spacing w:before="0" w:after="0"/>
              <w:ind w:left="0" w:right="0" w:hanging="0"/>
              <w:jc w:val="left"/>
              <w:rPr/>
            </w:pPr>
            <w:hyperlink w:anchor="PARTIIOTHERINFORMATION_538776">
              <w:r>
                <w:rPr>
                  <w:rStyle w:val="InternetLink"/>
                  <w:rFonts w:ascii="Times New Roman;Times;serif" w:hAnsi="Times New Roman;Times;serif"/>
                  <w:b w:val="false"/>
                  <w:i w:val="false"/>
                  <w:caps w:val="false"/>
                  <w:smallCaps w:val="false"/>
                  <w:sz w:val="20"/>
                </w:rPr>
                <w:t>Other Information</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6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660" w:type="dxa"/>
            <w:tcBorders/>
            <w:shd w:fill="CCEEFF" w:val="clear"/>
            <w:vAlign w:val="center"/>
          </w:tcPr>
          <w:p>
            <w:pPr>
              <w:pStyle w:val="TableContents"/>
              <w:pBdr/>
              <w:bidi w:val="0"/>
              <w:spacing w:before="0" w:after="0"/>
              <w:ind w:left="0" w:right="0" w:hanging="0"/>
              <w:jc w:val="left"/>
              <w:rPr/>
            </w:pPr>
            <w:hyperlink w:anchor="Item1LegalProceedings_569000">
              <w:r>
                <w:rPr>
                  <w:rStyle w:val="InternetLink"/>
                  <w:rFonts w:ascii="Times New Roman;Times;serif" w:hAnsi="Times New Roman;Times;serif"/>
                  <w:b w:val="false"/>
                  <w:i w:val="false"/>
                  <w:caps w:val="false"/>
                  <w:smallCaps w:val="false"/>
                  <w:sz w:val="20"/>
                </w:rPr>
                <w:t>Item 1</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8491" w:type="dxa"/>
            <w:tcBorders/>
            <w:shd w:fill="CCEEFF" w:val="clear"/>
            <w:vAlign w:val="center"/>
          </w:tcPr>
          <w:p>
            <w:pPr>
              <w:pStyle w:val="TableContents"/>
              <w:bidi w:val="0"/>
              <w:spacing w:before="0" w:after="0"/>
              <w:ind w:left="0" w:right="0" w:hanging="0"/>
              <w:jc w:val="left"/>
              <w:rPr/>
            </w:pPr>
            <w:hyperlink w:anchor="Item1LegalProceedings_569000">
              <w:r>
                <w:rPr>
                  <w:rStyle w:val="InternetLink"/>
                  <w:rFonts w:ascii="Times New Roman;Times;serif" w:hAnsi="Times New Roman;Times;serif"/>
                  <w:b w:val="false"/>
                  <w:i w:val="false"/>
                  <w:caps w:val="false"/>
                  <w:smallCaps w:val="false"/>
                  <w:sz w:val="20"/>
                </w:rPr>
                <w:t>Legal Proceedings</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6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660" w:type="dxa"/>
            <w:tcBorders/>
            <w:shd w:fill="CCEEFF" w:val="clear"/>
            <w:vAlign w:val="center"/>
          </w:tcPr>
          <w:p>
            <w:pPr>
              <w:pStyle w:val="TableContents"/>
              <w:pBdr/>
              <w:bidi w:val="0"/>
              <w:spacing w:before="0" w:after="0"/>
              <w:ind w:left="0" w:right="0" w:hanging="0"/>
              <w:jc w:val="left"/>
              <w:rPr/>
            </w:pPr>
            <w:hyperlink w:anchor="Item1ARiskFactors_127542">
              <w:r>
                <w:rPr>
                  <w:rStyle w:val="InternetLink"/>
                  <w:rFonts w:ascii="Times New Roman;Times;serif" w:hAnsi="Times New Roman;Times;serif"/>
                  <w:b w:val="false"/>
                  <w:i w:val="false"/>
                  <w:caps w:val="false"/>
                  <w:smallCaps w:val="false"/>
                  <w:sz w:val="20"/>
                </w:rPr>
                <w:t>Item 1A</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8491" w:type="dxa"/>
            <w:tcBorders/>
            <w:shd w:fill="CCEEFF" w:val="clear"/>
            <w:vAlign w:val="center"/>
          </w:tcPr>
          <w:p>
            <w:pPr>
              <w:pStyle w:val="TableContents"/>
              <w:bidi w:val="0"/>
              <w:spacing w:before="0" w:after="0"/>
              <w:ind w:left="0" w:right="0" w:hanging="0"/>
              <w:jc w:val="left"/>
              <w:rPr/>
            </w:pPr>
            <w:hyperlink w:anchor="Item1ARiskFactors_127542">
              <w:r>
                <w:rPr>
                  <w:rStyle w:val="InternetLink"/>
                  <w:rFonts w:ascii="Times New Roman;Times;serif" w:hAnsi="Times New Roman;Times;serif"/>
                  <w:b w:val="false"/>
                  <w:i w:val="false"/>
                  <w:caps w:val="false"/>
                  <w:smallCaps w:val="false"/>
                  <w:sz w:val="20"/>
                </w:rPr>
                <w:t>Risk Factors</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6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660" w:type="dxa"/>
            <w:tcBorders/>
            <w:shd w:fill="CCEEFF" w:val="clear"/>
            <w:vAlign w:val="center"/>
          </w:tcPr>
          <w:p>
            <w:pPr>
              <w:pStyle w:val="TableContents"/>
              <w:pBdr/>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8491" w:type="dxa"/>
            <w:tcBorders/>
            <w:shd w:fill="CCEEFF" w:val="clear"/>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6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660" w:type="dxa"/>
            <w:tcBorders/>
            <w:shd w:fill="CCEEFF" w:val="clear"/>
            <w:vAlign w:val="center"/>
          </w:tcPr>
          <w:p>
            <w:pPr>
              <w:pStyle w:val="TableContents"/>
              <w:pBdr/>
              <w:bidi w:val="0"/>
              <w:spacing w:before="0" w:after="0"/>
              <w:ind w:left="0" w:right="0" w:hanging="0"/>
              <w:jc w:val="left"/>
              <w:rPr/>
            </w:pPr>
            <w:hyperlink w:anchor="Item3DefaultsUponSeniorSecurities_678895">
              <w:r>
                <w:rPr>
                  <w:rStyle w:val="InternetLink"/>
                  <w:rFonts w:ascii="Times New Roman;Times;serif" w:hAnsi="Times New Roman;Times;serif"/>
                  <w:b w:val="false"/>
                  <w:i w:val="false"/>
                  <w:caps w:val="false"/>
                  <w:smallCaps w:val="false"/>
                  <w:sz w:val="20"/>
                </w:rPr>
                <w:t>Item 3</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8491" w:type="dxa"/>
            <w:tcBorders/>
            <w:shd w:fill="CCEEFF" w:val="clear"/>
            <w:vAlign w:val="center"/>
          </w:tcPr>
          <w:p>
            <w:pPr>
              <w:pStyle w:val="TableContents"/>
              <w:bidi w:val="0"/>
              <w:spacing w:before="0" w:after="0"/>
              <w:ind w:left="0" w:right="0" w:hanging="0"/>
              <w:jc w:val="left"/>
              <w:rPr/>
            </w:pPr>
            <w:hyperlink w:anchor="Item3DefaultsUponSeniorSecurities_678895">
              <w:r>
                <w:rPr>
                  <w:rStyle w:val="InternetLink"/>
                  <w:rFonts w:ascii="Times New Roman;Times;serif" w:hAnsi="Times New Roman;Times;serif"/>
                  <w:b w:val="false"/>
                  <w:i w:val="false"/>
                  <w:caps w:val="false"/>
                  <w:smallCaps w:val="false"/>
                  <w:sz w:val="20"/>
                </w:rPr>
                <w:t>Defaults Upon Senior Securities</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6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660" w:type="dxa"/>
            <w:tcBorders/>
            <w:shd w:fill="CCEEFF" w:val="clear"/>
            <w:vAlign w:val="center"/>
          </w:tcPr>
          <w:p>
            <w:pPr>
              <w:pStyle w:val="TableContents"/>
              <w:pBdr/>
              <w:bidi w:val="0"/>
              <w:spacing w:before="0" w:after="0"/>
              <w:ind w:left="0" w:right="0" w:hanging="0"/>
              <w:jc w:val="left"/>
              <w:rPr/>
            </w:pPr>
            <w:hyperlink w:anchor="Item4MineSafetyDisclosures_739357">
              <w:r>
                <w:rPr>
                  <w:rStyle w:val="InternetLink"/>
                  <w:rFonts w:ascii="Times New Roman;Times;serif" w:hAnsi="Times New Roman;Times;serif"/>
                  <w:b w:val="false"/>
                  <w:i w:val="false"/>
                  <w:caps w:val="false"/>
                  <w:smallCaps w:val="false"/>
                  <w:sz w:val="20"/>
                </w:rPr>
                <w:t>Item 4</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8491" w:type="dxa"/>
            <w:tcBorders/>
            <w:shd w:fill="CCEEFF" w:val="clear"/>
            <w:vAlign w:val="center"/>
          </w:tcPr>
          <w:p>
            <w:pPr>
              <w:pStyle w:val="TableContents"/>
              <w:bidi w:val="0"/>
              <w:spacing w:before="0" w:after="0"/>
              <w:ind w:left="0" w:right="0" w:hanging="0"/>
              <w:jc w:val="left"/>
              <w:rPr/>
            </w:pPr>
            <w:hyperlink w:anchor="Item4MineSafetyDisclosures_739357">
              <w:r>
                <w:rPr>
                  <w:rStyle w:val="InternetLink"/>
                  <w:rFonts w:ascii="Times New Roman;Times;serif" w:hAnsi="Times New Roman;Times;serif"/>
                  <w:b w:val="false"/>
                  <w:i w:val="false"/>
                  <w:caps w:val="false"/>
                  <w:smallCaps w:val="false"/>
                  <w:sz w:val="20"/>
                </w:rPr>
                <w:t>Mine Safety Disclosures</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6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660" w:type="dxa"/>
            <w:tcBorders/>
            <w:shd w:fill="CCEEFF" w:val="clear"/>
            <w:vAlign w:val="center"/>
          </w:tcPr>
          <w:p>
            <w:pPr>
              <w:pStyle w:val="TableContents"/>
              <w:pBdr/>
              <w:bidi w:val="0"/>
              <w:spacing w:before="0" w:after="0"/>
              <w:ind w:left="0" w:right="0" w:hanging="0"/>
              <w:jc w:val="left"/>
              <w:rPr/>
            </w:pPr>
            <w:hyperlink w:anchor="Item5OtherInformation_529236">
              <w:r>
                <w:rPr>
                  <w:rStyle w:val="InternetLink"/>
                  <w:rFonts w:ascii="Times New Roman;Times;serif" w:hAnsi="Times New Roman;Times;serif"/>
                  <w:b w:val="false"/>
                  <w:i w:val="false"/>
                  <w:caps w:val="false"/>
                  <w:smallCaps w:val="false"/>
                  <w:sz w:val="20"/>
                </w:rPr>
                <w:t>Item 5</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8491" w:type="dxa"/>
            <w:tcBorders/>
            <w:shd w:fill="CCEEFF" w:val="clear"/>
            <w:vAlign w:val="center"/>
          </w:tcPr>
          <w:p>
            <w:pPr>
              <w:pStyle w:val="TableContents"/>
              <w:bidi w:val="0"/>
              <w:spacing w:before="0" w:after="0"/>
              <w:ind w:left="0" w:right="0" w:hanging="0"/>
              <w:jc w:val="left"/>
              <w:rPr/>
            </w:pPr>
            <w:hyperlink w:anchor="Item5OtherInformation_529236">
              <w:r>
                <w:rPr>
                  <w:rStyle w:val="InternetLink"/>
                  <w:rFonts w:ascii="Times New Roman;Times;serif" w:hAnsi="Times New Roman;Times;serif"/>
                  <w:b w:val="false"/>
                  <w:i w:val="false"/>
                  <w:caps w:val="false"/>
                  <w:smallCaps w:val="false"/>
                  <w:sz w:val="20"/>
                </w:rPr>
                <w:t>Other Information</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6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660" w:type="dxa"/>
            <w:tcBorders/>
            <w:shd w:fill="CCEEFF" w:val="clear"/>
            <w:vAlign w:val="center"/>
          </w:tcPr>
          <w:p>
            <w:pPr>
              <w:pStyle w:val="TableContents"/>
              <w:pBdr/>
              <w:bidi w:val="0"/>
              <w:spacing w:before="0" w:after="0"/>
              <w:ind w:left="0" w:right="0" w:hanging="0"/>
              <w:jc w:val="left"/>
              <w:rPr/>
            </w:pPr>
            <w:hyperlink w:anchor="Item6Exhibits_10811">
              <w:r>
                <w:rPr>
                  <w:rStyle w:val="InternetLink"/>
                  <w:rFonts w:ascii="Times New Roman;Times;serif" w:hAnsi="Times New Roman;Times;serif"/>
                  <w:b w:val="false"/>
                  <w:i w:val="false"/>
                  <w:caps w:val="false"/>
                  <w:smallCaps w:val="false"/>
                  <w:sz w:val="20"/>
                </w:rPr>
                <w:t>Item 6</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8491" w:type="dxa"/>
            <w:tcBorders/>
            <w:shd w:fill="CCEEFF" w:val="clear"/>
            <w:vAlign w:val="center"/>
          </w:tcPr>
          <w:p>
            <w:pPr>
              <w:pStyle w:val="TableContents"/>
              <w:bidi w:val="0"/>
              <w:spacing w:before="0" w:after="0"/>
              <w:ind w:left="0" w:right="0" w:hanging="0"/>
              <w:jc w:val="left"/>
              <w:rPr/>
            </w:pPr>
            <w:hyperlink w:anchor="Item6Exhibits_10811">
              <w:r>
                <w:rPr>
                  <w:rStyle w:val="InternetLink"/>
                  <w:rFonts w:ascii="Times New Roman;Times;serif" w:hAnsi="Times New Roman;Times;serif"/>
                  <w:b w:val="false"/>
                  <w:i w:val="false"/>
                  <w:caps w:val="false"/>
                  <w:smallCaps w:val="false"/>
                  <w:sz w:val="20"/>
                </w:rPr>
                <w:t>Exhibits</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6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9497" w:type="dxa"/>
            <w:gridSpan w:val="3"/>
            <w:tcBorders/>
            <w:shd w:fill="CCEEFF" w:val="clear"/>
            <w:vAlign w:val="center"/>
          </w:tcPr>
          <w:p>
            <w:pPr>
              <w:pStyle w:val="TableContents"/>
              <w:bidi w:val="0"/>
              <w:spacing w:before="0" w:after="0"/>
              <w:ind w:left="0" w:right="0" w:hanging="0"/>
              <w:jc w:val="left"/>
              <w:rPr/>
            </w:pPr>
            <w:hyperlink w:anchor="SIGNATURES_109361">
              <w:r>
                <w:rPr>
                  <w:rStyle w:val="InternetLink"/>
                  <w:rFonts w:ascii="Times New Roman;Times;serif" w:hAnsi="Times New Roman;Times;serif"/>
                  <w:b w:val="false"/>
                  <w:i w:val="false"/>
                  <w:caps w:val="false"/>
                  <w:smallCaps w:val="false"/>
                  <w:sz w:val="20"/>
                </w:rPr>
                <w:t>Signatures</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7" w:name="_986bb44d_0eea_4e71_b640_2ba198964aad"/>
      <w:bookmarkEnd w:id="37"/>
      <w:r>
        <w:rPr>
          <w:rFonts w:ascii="Times New Roman;Times;serif" w:hAnsi="Times New Roman;Times;serif"/>
          <w:b/>
          <w:sz w:val="20"/>
        </w:rPr>
        <w:t>CHEETAH NET SUPPLY CHAIN SERVICE INC.</w:t>
      </w:r>
    </w:p>
    <w:p>
      <w:pPr>
        <w:pStyle w:val="TextBody"/>
        <w:bidi w:val="0"/>
        <w:spacing w:before="0" w:after="240"/>
        <w:ind w:left="0" w:right="0" w:hanging="0"/>
        <w:jc w:val="center"/>
        <w:rPr>
          <w:rFonts w:ascii="Times New Roman;Times;serif" w:hAnsi="Times New Roman;Times;serif"/>
          <w:b/>
          <w:sz w:val="20"/>
        </w:rPr>
      </w:pPr>
      <w:bookmarkStart w:id="38" w:name="PARTIFINANCIALINFORMATION_291851"/>
      <w:bookmarkEnd w:id="38"/>
      <w:r>
        <w:rPr>
          <w:rFonts w:ascii="Times New Roman;Times;serif" w:hAnsi="Times New Roman;Times;serif"/>
          <w:b/>
          <w:sz w:val="20"/>
        </w:rPr>
        <w:t>PART I - FINANCIAL INFORMATION</w:t>
      </w:r>
    </w:p>
    <w:p>
      <w:pPr>
        <w:pStyle w:val="TextBody"/>
        <w:bidi w:val="0"/>
        <w:spacing w:before="0" w:after="240"/>
        <w:ind w:left="0" w:right="0" w:hanging="0"/>
        <w:jc w:val="both"/>
        <w:rPr>
          <w:rFonts w:ascii="Times New Roman;Times;serif" w:hAnsi="Times New Roman;Times;serif"/>
          <w:b w:val="false"/>
          <w:sz w:val="20"/>
        </w:rPr>
      </w:pPr>
      <w:bookmarkStart w:id="39" w:name="Item1FinancialStatements_157447"/>
      <w:bookmarkEnd w:id="39"/>
      <w:r>
        <w:rPr>
          <w:rFonts w:ascii="Times New Roman;Times;serif" w:hAnsi="Times New Roman;Times;serif"/>
          <w:b w:val="false"/>
          <w:sz w:val="20"/>
        </w:rPr>
        <w:t>Item 1.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CHEETAH NET SUPPLY CHAIN SERVICE INC.</w:t>
      </w:r>
    </w:p>
    <w:p>
      <w:pPr>
        <w:pStyle w:val="TextBody"/>
        <w:bidi w:val="0"/>
        <w:spacing w:before="0" w:after="240"/>
        <w:ind w:left="0" w:right="0" w:hanging="0"/>
        <w:jc w:val="center"/>
        <w:rPr>
          <w:rFonts w:ascii="Times New Roman;Times;serif" w:hAnsi="Times New Roman;Times;serif"/>
          <w:b/>
          <w:sz w:val="20"/>
        </w:rPr>
      </w:pPr>
      <w:bookmarkStart w:id="40" w:name="UNAUDITEDCONDENSEDCONSOLIDATEDBALANCESHE"/>
      <w:bookmarkEnd w:id="40"/>
      <w:r>
        <w:rPr>
          <w:rFonts w:ascii="Times New Roman;Times;serif" w:hAnsi="Times New Roman;Times;serif"/>
          <w:b/>
          <w:sz w:val="20"/>
        </w:rPr>
        <w:t>CONSOLIDATED BALANCE SHEETS</w:t>
      </w:r>
    </w:p>
    <w:p>
      <w:pPr>
        <w:pStyle w:val="Normal"/>
        <w:bidi w:val="0"/>
        <w:spacing w:before="0" w:after="0"/>
        <w:jc w:val="left"/>
        <w:rPr>
          <w:sz w:val="4"/>
          <w:szCs w:val="4"/>
        </w:rPr>
      </w:pPr>
      <w:r>
        <w:rPr>
          <w:sz w:val="4"/>
          <w:szCs w:val="4"/>
        </w:rPr>
      </w:r>
      <w:bookmarkStart w:id="41" w:name="Tc_wJC-P3V2PkurCRt-3rbyiA_46_5"/>
      <w:bookmarkStart w:id="42" w:name="Tc_VubV9YnfHkqW2vDV6SVmmw_46_2"/>
      <w:bookmarkStart w:id="43" w:name="Tc_foU_6BBJmUWNXIOQS2pxow_46_0"/>
      <w:bookmarkStart w:id="44" w:name="Tc_-lUU-F-kZUy2ESEDreyMRg_44_0"/>
      <w:bookmarkStart w:id="45" w:name="Tc_FVa0z8GPAk2Uz-2Cskz_NA_43_0"/>
      <w:bookmarkStart w:id="46" w:name="Tc_5x3bdlPowE6OwbuLTkd7WQ_42_0"/>
      <w:bookmarkStart w:id="47" w:name="Tc_71feSEEP_U2Z3AOQRRWsLQ_41_6"/>
      <w:bookmarkStart w:id="48" w:name="Tc_DFx0GJMcP0CmUA1RHUk8Ug_41_0"/>
      <w:bookmarkStart w:id="49" w:name="Tc_qn3jw9kexEuAdNl-6BfQaA_40_0"/>
      <w:bookmarkStart w:id="50" w:name="Tc_Cz23juvte0K6ctq9S5cxXg_39_0"/>
      <w:bookmarkStart w:id="51" w:name="Tc_SE_PFyTFQkmUQPDl1YDJwQ_38_0"/>
      <w:bookmarkStart w:id="52" w:name="Tc_JvbykS5IekSTpyyBzIzd2g_36_0"/>
      <w:bookmarkStart w:id="53" w:name="Tc_V8TuL6uDCUGxX9EZo2CbTQ_34_5"/>
      <w:bookmarkStart w:id="54" w:name="Tc_5q5B1i814UuK67Lwq4yo3A_34_2"/>
      <w:bookmarkStart w:id="55" w:name="Tc_ONjO7P64TUCUdAxVTV-B7A_34_0"/>
      <w:bookmarkStart w:id="56" w:name="Tc_VseU9nAnfkmJR0xj528JVQ_33_0"/>
      <w:bookmarkStart w:id="57" w:name="Tc_ccyRiTQQDUCgPZrQgool-Q_32_0"/>
      <w:bookmarkStart w:id="58" w:name="Tc__3uWAj3koEmKgOpzL8l4EQ_31_0"/>
      <w:bookmarkStart w:id="59" w:name="Tc_RbJWCJfShUSAga51a0dvQA_30_0"/>
      <w:bookmarkStart w:id="60" w:name="Tc_X65Uiqd8HkqUr6ziog57dA_29_0"/>
      <w:bookmarkStart w:id="61" w:name="Tc_whe6RboyQ0KHUUC5m4-T1w_28_0"/>
      <w:bookmarkStart w:id="62" w:name="Tc_wM7IggSNUkqjy8Fsqb7lmA_27_0"/>
      <w:bookmarkStart w:id="63" w:name="Tc_SAn9LZnlW0-yNJAQINcpCg_25_3"/>
      <w:bookmarkStart w:id="64" w:name="Tc_qSyCDF91gE-h_HSgCrJ_xA_25_0"/>
      <w:bookmarkStart w:id="65" w:name="Tc_2YjY1KwCwkiE2VhI5X43Rg_24_0"/>
      <w:bookmarkStart w:id="66" w:name="Tc_twuEgUt_xUaR1Tfucg63WA_23_5"/>
      <w:bookmarkStart w:id="67" w:name="Tc_PQD7G8B9xkGz2FrAnxhqOA_23_2"/>
      <w:bookmarkStart w:id="68" w:name="Tc_rL_2qYIsSUy7nBdfUxexxQ_23_0"/>
      <w:bookmarkStart w:id="69" w:name="Tc_gOTfyyNt9kKe-R7Wpx8bZg_22_0"/>
      <w:bookmarkStart w:id="70" w:name="Tc_9qAG6ltS_U-5JlCU5jHyqw_21_0"/>
      <w:bookmarkStart w:id="71" w:name="Tc_Fpe6T8r_qkq3yKhnV2OkJg_19_5"/>
      <w:bookmarkStart w:id="72" w:name="Tc_pb3ESS35xEC0EZW4-kiUAg_19_2"/>
      <w:bookmarkStart w:id="73" w:name="Tc_uwuXd8YySEiJbQA01NxPrA_19_0"/>
      <w:bookmarkStart w:id="74" w:name="Tc_7f5VZlrEzEKLe7uyVpIUGQ_18_0"/>
      <w:bookmarkStart w:id="75" w:name="Tc_K-l_JLBQqku_t65Qidy1rg_17_6"/>
      <w:bookmarkStart w:id="76" w:name="Tc_XN8e-5kaFUWLcKlRg5_gFg_17_0"/>
      <w:bookmarkStart w:id="77" w:name="Tc_stzXOAgzsUmW_GYpzqjrTw_16_0"/>
      <w:bookmarkStart w:id="78" w:name="Tc_9dzgt8PSzEKHqAFkJKjShQ_15_0"/>
      <w:bookmarkStart w:id="79" w:name="Tc_rkSRf_wIIEiANXRRefga7g_14_0"/>
      <w:bookmarkStart w:id="80" w:name="Tc_oHSfPX4kokebkMUsLvbHmw_13_0"/>
      <w:bookmarkStart w:id="81" w:name="Tc_aYsZQ6rStku3bBbo8FM3Fg_12_0"/>
      <w:bookmarkStart w:id="82" w:name="Tc_2ymynUU06UGMB1OebXulHQ_11_0"/>
      <w:bookmarkStart w:id="83" w:name="Tc_yJ9tw8yu8UyEc5B3lj8Xjw_10_6"/>
      <w:bookmarkStart w:id="84" w:name="Tc_x18yMk7_ZkSp8ws9tN0TBw_10_0"/>
      <w:bookmarkStart w:id="85" w:name="Tc_B6nrQQR4f0qnwZHy4kVNBQ_9_0"/>
      <w:bookmarkStart w:id="86" w:name="Tc_5egig9dorU2YZmDdpnMYSA_8_0"/>
      <w:bookmarkStart w:id="87" w:name="Tc_QiCAiBh31UOcyUbalT5IRg_7_0"/>
      <w:bookmarkStart w:id="88" w:name="Tc_R-b9gezfPU-mD55YJbln9g_6_0"/>
      <w:bookmarkStart w:id="89" w:name="Tc__crTBPSkhE-7ZBqUR8KTBw_5_5"/>
      <w:bookmarkStart w:id="90" w:name="Tc_edJgolLLW02PQb5WZBPs1A_5_2"/>
      <w:bookmarkStart w:id="91" w:name="Tc_5MPZRiwWx0G4cEKhtnrjnQ_5_0"/>
      <w:bookmarkStart w:id="92" w:name="Tc_9Q3n5UBM-U6XtpPNDmFxFA_4_0"/>
      <w:bookmarkStart w:id="93" w:name="Tc_pkZIkM9fmkyaUPD90wC79g_3_0"/>
      <w:bookmarkStart w:id="94" w:name="Tc_8RjDQHjkK026XCIU9k0hXA_2_5"/>
      <w:bookmarkStart w:id="95" w:name="Tc_wTjsxPB6CUWW96FwyPkz3g_2_2"/>
      <w:bookmarkStart w:id="96" w:name="Tc_Z42TEO3nPUaicKxdU5ciPg_1_5"/>
      <w:bookmarkStart w:id="97" w:name="Tc_3Xlf2cNpn0mjrnuj-_6VBQ_1_2"/>
      <w:bookmarkStart w:id="98" w:name="_d7137c45_0bc0_438f_aa65_ba4a6641ab84"/>
      <w:bookmarkStart w:id="99" w:name="Tc_wJC-P3V2PkurCRt-3rbyiA_46_5"/>
      <w:bookmarkStart w:id="100" w:name="Tc_VubV9YnfHkqW2vDV6SVmmw_46_2"/>
      <w:bookmarkStart w:id="101" w:name="Tc_foU_6BBJmUWNXIOQS2pxow_46_0"/>
      <w:bookmarkStart w:id="102" w:name="Tc_-lUU-F-kZUy2ESEDreyMRg_44_0"/>
      <w:bookmarkStart w:id="103" w:name="Tc_FVa0z8GPAk2Uz-2Cskz_NA_43_0"/>
      <w:bookmarkStart w:id="104" w:name="Tc_5x3bdlPowE6OwbuLTkd7WQ_42_0"/>
      <w:bookmarkStart w:id="105" w:name="Tc_71feSEEP_U2Z3AOQRRWsLQ_41_6"/>
      <w:bookmarkStart w:id="106" w:name="Tc_DFx0GJMcP0CmUA1RHUk8Ug_41_0"/>
      <w:bookmarkStart w:id="107" w:name="Tc_qn3jw9kexEuAdNl-6BfQaA_40_0"/>
      <w:bookmarkStart w:id="108" w:name="Tc_Cz23juvte0K6ctq9S5cxXg_39_0"/>
      <w:bookmarkStart w:id="109" w:name="Tc_SE_PFyTFQkmUQPDl1YDJwQ_38_0"/>
      <w:bookmarkStart w:id="110" w:name="Tc_JvbykS5IekSTpyyBzIzd2g_36_0"/>
      <w:bookmarkStart w:id="111" w:name="Tc_V8TuL6uDCUGxX9EZo2CbTQ_34_5"/>
      <w:bookmarkStart w:id="112" w:name="Tc_5q5B1i814UuK67Lwq4yo3A_34_2"/>
      <w:bookmarkStart w:id="113" w:name="Tc_ONjO7P64TUCUdAxVTV-B7A_34_0"/>
      <w:bookmarkStart w:id="114" w:name="Tc_VseU9nAnfkmJR0xj528JVQ_33_0"/>
      <w:bookmarkStart w:id="115" w:name="Tc_ccyRiTQQDUCgPZrQgool-Q_32_0"/>
      <w:bookmarkStart w:id="116" w:name="Tc__3uWAj3koEmKgOpzL8l4EQ_31_0"/>
      <w:bookmarkStart w:id="117" w:name="Tc_RbJWCJfShUSAga51a0dvQA_30_0"/>
      <w:bookmarkStart w:id="118" w:name="Tc_X65Uiqd8HkqUr6ziog57dA_29_0"/>
      <w:bookmarkStart w:id="119" w:name="Tc_whe6RboyQ0KHUUC5m4-T1w_28_0"/>
      <w:bookmarkStart w:id="120" w:name="Tc_wM7IggSNUkqjy8Fsqb7lmA_27_0"/>
      <w:bookmarkStart w:id="121" w:name="Tc_SAn9LZnlW0-yNJAQINcpCg_25_3"/>
      <w:bookmarkStart w:id="122" w:name="Tc_qSyCDF91gE-h_HSgCrJ_xA_25_0"/>
      <w:bookmarkStart w:id="123" w:name="Tc_2YjY1KwCwkiE2VhI5X43Rg_24_0"/>
      <w:bookmarkStart w:id="124" w:name="Tc_twuEgUt_xUaR1Tfucg63WA_23_5"/>
      <w:bookmarkStart w:id="125" w:name="Tc_PQD7G8B9xkGz2FrAnxhqOA_23_2"/>
      <w:bookmarkStart w:id="126" w:name="Tc_rL_2qYIsSUy7nBdfUxexxQ_23_0"/>
      <w:bookmarkStart w:id="127" w:name="Tc_gOTfyyNt9kKe-R7Wpx8bZg_22_0"/>
      <w:bookmarkStart w:id="128" w:name="Tc_9qAG6ltS_U-5JlCU5jHyqw_21_0"/>
      <w:bookmarkStart w:id="129" w:name="Tc_Fpe6T8r_qkq3yKhnV2OkJg_19_5"/>
      <w:bookmarkStart w:id="130" w:name="Tc_pb3ESS35xEC0EZW4-kiUAg_19_2"/>
      <w:bookmarkStart w:id="131" w:name="Tc_uwuXd8YySEiJbQA01NxPrA_19_0"/>
      <w:bookmarkStart w:id="132" w:name="Tc_7f5VZlrEzEKLe7uyVpIUGQ_18_0"/>
      <w:bookmarkStart w:id="133" w:name="Tc_K-l_JLBQqku_t65Qidy1rg_17_6"/>
      <w:bookmarkStart w:id="134" w:name="Tc_XN8e-5kaFUWLcKlRg5_gFg_17_0"/>
      <w:bookmarkStart w:id="135" w:name="Tc_stzXOAgzsUmW_GYpzqjrTw_16_0"/>
      <w:bookmarkStart w:id="136" w:name="Tc_9dzgt8PSzEKHqAFkJKjShQ_15_0"/>
      <w:bookmarkStart w:id="137" w:name="Tc_rkSRf_wIIEiANXRRefga7g_14_0"/>
      <w:bookmarkStart w:id="138" w:name="Tc_oHSfPX4kokebkMUsLvbHmw_13_0"/>
      <w:bookmarkStart w:id="139" w:name="Tc_aYsZQ6rStku3bBbo8FM3Fg_12_0"/>
      <w:bookmarkStart w:id="140" w:name="Tc_2ymynUU06UGMB1OebXulHQ_11_0"/>
      <w:bookmarkStart w:id="141" w:name="Tc_yJ9tw8yu8UyEc5B3lj8Xjw_10_6"/>
      <w:bookmarkStart w:id="142" w:name="Tc_x18yMk7_ZkSp8ws9tN0TBw_10_0"/>
      <w:bookmarkStart w:id="143" w:name="Tc_B6nrQQR4f0qnwZHy4kVNBQ_9_0"/>
      <w:bookmarkStart w:id="144" w:name="Tc_5egig9dorU2YZmDdpnMYSA_8_0"/>
      <w:bookmarkStart w:id="145" w:name="Tc_QiCAiBh31UOcyUbalT5IRg_7_0"/>
      <w:bookmarkStart w:id="146" w:name="Tc_R-b9gezfPU-mD55YJbln9g_6_0"/>
      <w:bookmarkStart w:id="147" w:name="Tc__crTBPSkhE-7ZBqUR8KTBw_5_5"/>
      <w:bookmarkStart w:id="148" w:name="Tc_edJgolLLW02PQb5WZBPs1A_5_2"/>
      <w:bookmarkStart w:id="149" w:name="Tc_5MPZRiwWx0G4cEKhtnrjnQ_5_0"/>
      <w:bookmarkStart w:id="150" w:name="Tc_9Q3n5UBM-U6XtpPNDmFxFA_4_0"/>
      <w:bookmarkStart w:id="151" w:name="Tc_pkZIkM9fmkyaUPD90wC79g_3_0"/>
      <w:bookmarkStart w:id="152" w:name="Tc_8RjDQHjkK026XCIU9k0hXA_2_5"/>
      <w:bookmarkStart w:id="153" w:name="Tc_wTjsxPB6CUWW96FwyPkz3g_2_2"/>
      <w:bookmarkStart w:id="154" w:name="Tc_Z42TEO3nPUaicKxdU5ciPg_1_5"/>
      <w:bookmarkStart w:id="155" w:name="Tc_3Xlf2cNpn0mjrnuj-_6VBQ_1_2"/>
      <w:bookmarkStart w:id="156" w:name="_d7137c45_0bc0_438f_aa65_ba4a6641ab84"/>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tbl>
      <w:tblPr>
        <w:tblW w:w="10205" w:type="dxa"/>
        <w:jc w:val="left"/>
        <w:tblInd w:w="0" w:type="dxa"/>
        <w:tblLayout w:type="fixed"/>
        <w:tblCellMar>
          <w:top w:w="0" w:type="dxa"/>
          <w:left w:w="0" w:type="dxa"/>
          <w:bottom w:w="0" w:type="dxa"/>
          <w:right w:w="0" w:type="dxa"/>
        </w:tblCellMar>
      </w:tblPr>
      <w:tblGrid>
        <w:gridCol w:w="7171"/>
        <w:gridCol w:w="346"/>
        <w:gridCol w:w="196"/>
        <w:gridCol w:w="928"/>
        <w:gridCol w:w="346"/>
        <w:gridCol w:w="196"/>
        <w:gridCol w:w="1022"/>
      </w:tblGrid>
      <w:tr>
        <w:trPr/>
        <w:tc>
          <w:tcPr>
            <w:tcW w:w="7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4553585" cy="175260"/>
                      <wp:effectExtent l="0" t="0" r="0" b="0"/>
                      <wp:wrapNone/>
                      <wp:docPr id="8" name="Frame8"/>
                      <a:graphic xmlns:a="http://schemas.openxmlformats.org/drawingml/2006/main">
                        <a:graphicData uri="http://schemas.microsoft.com/office/word/2010/wordprocessingShape">
                          <wps:wsp>
                            <wps:cNvSpPr txBox="1"/>
                            <wps:spPr>
                              <a:xfrm>
                                <a:off x="0" y="0"/>
                                <a:ext cx="455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9710" cy="175260"/>
                      <wp:effectExtent l="0" t="0" r="0" b="0"/>
                      <wp:wrapNone/>
                      <wp:docPr id="9"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24460" cy="175260"/>
                      <wp:effectExtent l="0" t="0" r="0" b="0"/>
                      <wp:wrapNone/>
                      <wp:docPr id="10" name="Frame1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589280" cy="175260"/>
                      <wp:effectExtent l="0" t="0" r="0" b="0"/>
                      <wp:wrapNone/>
                      <wp:docPr id="11" name="Frame11"/>
                      <a:graphic xmlns:a="http://schemas.openxmlformats.org/drawingml/2006/main">
                        <a:graphicData uri="http://schemas.microsoft.com/office/word/2010/wordprocessingShape">
                          <wps:wsp>
                            <wps:cNvSpPr txBox="1"/>
                            <wps:spPr>
                              <a:xfrm>
                                <a:off x="0" y="0"/>
                                <a:ext cx="589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175260"/>
                      <wp:effectExtent l="0" t="0" r="0" b="0"/>
                      <wp:wrapNone/>
                      <wp:docPr id="12"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24460" cy="175260"/>
                      <wp:effectExtent l="0" t="0" r="0" b="0"/>
                      <wp:wrapNone/>
                      <wp:docPr id="13" name="Frame1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970" cy="175260"/>
                      <wp:effectExtent l="0" t="0" r="0" b="0"/>
                      <wp:wrapNone/>
                      <wp:docPr id="14" name="Frame14"/>
                      <a:graphic xmlns:a="http://schemas.openxmlformats.org/drawingml/2006/main">
                        <a:graphicData uri="http://schemas.microsoft.com/office/word/2010/wordprocessingShape">
                          <wps:wsp>
                            <wps:cNvSpPr txBox="1"/>
                            <wps:spPr>
                              <a:xfrm>
                                <a:off x="0" y="0"/>
                                <a:ext cx="648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2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  ​ ​ ​</w:t>
            </w:r>
          </w:p>
        </w:tc>
        <w:tc>
          <w:tcPr>
            <w:tcW w:w="121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1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w:t>
            </w:r>
          </w:p>
        </w:tc>
        <w:tc>
          <w:tcPr>
            <w:tcW w:w="12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17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ASSETS</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2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1022" w:type="dxa"/>
            <w:tcBorders/>
            <w:shd w:fill="CCEEFF" w:val="clear"/>
            <w:vAlign w:val="center"/>
          </w:tcPr>
          <w:p>
            <w:pPr>
              <w:pStyle w:val="TableContents"/>
              <w:bidi w:val="0"/>
              <w:spacing w:before="0" w:after="0"/>
              <w:ind w:left="0" w:right="0" w:hanging="0"/>
              <w:jc w:val="right"/>
              <w:rPr/>
            </w:pPr>
            <w:r>
              <w:rPr/>
              <w:t>  ​</w:t>
            </w:r>
          </w:p>
        </w:tc>
      </w:tr>
      <w:tr>
        <w:trPr/>
        <w:tc>
          <w:tcPr>
            <w:tcW w:w="7171"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CURRENT ASSETS:</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1022" w:type="dxa"/>
            <w:tcBorders/>
            <w:vAlign w:val="center"/>
          </w:tcPr>
          <w:p>
            <w:pPr>
              <w:pStyle w:val="TableContents"/>
              <w:bidi w:val="0"/>
              <w:spacing w:before="0" w:after="0"/>
              <w:ind w:left="0" w:right="0" w:hanging="0"/>
              <w:jc w:val="right"/>
              <w:rPr/>
            </w:pPr>
            <w:r>
              <w:rPr/>
              <w:t>  ​</w:t>
            </w:r>
          </w:p>
        </w:tc>
      </w:tr>
      <w:tr>
        <w:trPr/>
        <w:tc>
          <w:tcPr>
            <w:tcW w:w="71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2,143,604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2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233,217</w:t>
            </w:r>
          </w:p>
        </w:tc>
      </w:tr>
      <w:tr>
        <w:trPr/>
        <w:tc>
          <w:tcPr>
            <w:tcW w:w="717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2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734,162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2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6,540</w:t>
            </w:r>
          </w:p>
        </w:tc>
      </w:tr>
      <w:tr>
        <w:trPr/>
        <w:tc>
          <w:tcPr>
            <w:tcW w:w="71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Loan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29,951,513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2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7,430,111</w:t>
            </w:r>
          </w:p>
        </w:tc>
      </w:tr>
      <w:tr>
        <w:trPr/>
        <w:tc>
          <w:tcPr>
            <w:tcW w:w="717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receivables,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2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960,451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2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1,157,130</w:t>
            </w:r>
          </w:p>
        </w:tc>
      </w:tr>
      <w:tr>
        <w:trPr/>
        <w:tc>
          <w:tcPr>
            <w:tcW w:w="71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expenses and 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2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821,030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2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238,648</w:t>
            </w:r>
          </w:p>
        </w:tc>
      </w:tr>
      <w:tr>
        <w:trPr/>
        <w:tc>
          <w:tcPr>
            <w:tcW w:w="717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Receivable from withdrawal of investment deposit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41,110,573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717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8"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75,721,333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22"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9,065,646</w:t>
            </w:r>
          </w:p>
        </w:tc>
      </w:tr>
      <w:tr>
        <w:trPr/>
        <w:tc>
          <w:tcPr>
            <w:tcW w:w="7171"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NONCURRENT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22" w:type="dxa"/>
            <w:tcBorders/>
            <w:vAlign w:val="center"/>
          </w:tcPr>
          <w:p>
            <w:pPr>
              <w:pStyle w:val="TableContents"/>
              <w:bidi w:val="0"/>
              <w:spacing w:before="0" w:after="0"/>
              <w:ind w:left="0" w:right="0" w:hanging="0"/>
              <w:jc w:val="right"/>
              <w:rPr/>
            </w:pPr>
            <w:r>
              <w:rPr/>
              <w:t>​</w:t>
            </w:r>
          </w:p>
        </w:tc>
      </w:tr>
      <w:tr>
        <w:trPr/>
        <w:tc>
          <w:tcPr>
            <w:tcW w:w="71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Property, plant, and equipment,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309,792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2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358,868</w:t>
            </w:r>
          </w:p>
        </w:tc>
      </w:tr>
      <w:tr>
        <w:trPr/>
        <w:tc>
          <w:tcPr>
            <w:tcW w:w="717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right-of-use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2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530,929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2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1,165,517</w:t>
            </w:r>
          </w:p>
        </w:tc>
      </w:tr>
      <w:tr>
        <w:trPr/>
        <w:tc>
          <w:tcPr>
            <w:tcW w:w="71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Intangibles,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505,000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2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792,571</w:t>
            </w:r>
          </w:p>
        </w:tc>
      </w:tr>
      <w:tr>
        <w:trPr/>
        <w:tc>
          <w:tcPr>
            <w:tcW w:w="717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Goodwill</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2,665,654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2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475,862</w:t>
            </w:r>
          </w:p>
        </w:tc>
      </w:tr>
      <w:tr>
        <w:trPr/>
        <w:tc>
          <w:tcPr>
            <w:tcW w:w="71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Contingent consideration asset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2,783,884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22" w:type="dxa"/>
            <w:tcBorders/>
            <w:shd w:fill="CCEEFF" w:val="clear"/>
            <w:vAlign w:val="center"/>
          </w:tcPr>
          <w:p>
            <w:pPr>
              <w:pStyle w:val="TableContents"/>
              <w:bidi w:val="0"/>
              <w:spacing w:before="0" w:after="0"/>
              <w:ind w:left="0" w:right="0" w:hanging="0"/>
              <w:jc w:val="right"/>
              <w:rPr/>
            </w:pPr>
            <w:r>
              <w:rPr/>
              <w:t>—</w:t>
            </w:r>
          </w:p>
        </w:tc>
      </w:tr>
      <w:tr>
        <w:trPr/>
        <w:tc>
          <w:tcPr>
            <w:tcW w:w="7171"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NONCURRENT ASSETS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6,795,259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2,792,818</w:t>
            </w:r>
          </w:p>
        </w:tc>
      </w:tr>
      <w:tr>
        <w:trPr/>
        <w:tc>
          <w:tcPr>
            <w:tcW w:w="717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2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82,516,592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0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11,858,464</w:t>
            </w:r>
          </w:p>
        </w:tc>
      </w:tr>
      <w:tr>
        <w:trPr/>
        <w:tc>
          <w:tcPr>
            <w:tcW w:w="7171"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22" w:type="dxa"/>
            <w:tcBorders/>
            <w:vAlign w:val="center"/>
          </w:tcPr>
          <w:p>
            <w:pPr>
              <w:pStyle w:val="TableContents"/>
              <w:bidi w:val="0"/>
              <w:spacing w:before="0" w:after="0"/>
              <w:ind w:left="0" w:right="0" w:hanging="0"/>
              <w:jc w:val="right"/>
              <w:rPr/>
            </w:pPr>
            <w:r>
              <w:rPr/>
              <w:t>​</w:t>
            </w:r>
          </w:p>
        </w:tc>
      </w:tr>
      <w:tr>
        <w:trPr/>
        <w:tc>
          <w:tcPr>
            <w:tcW w:w="717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LIABILITIES AND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2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22" w:type="dxa"/>
            <w:tcBorders/>
            <w:shd w:fill="CCEEFF" w:val="clear"/>
            <w:vAlign w:val="center"/>
          </w:tcPr>
          <w:p>
            <w:pPr>
              <w:pStyle w:val="TableContents"/>
              <w:bidi w:val="0"/>
              <w:spacing w:before="0" w:after="0"/>
              <w:ind w:left="0" w:right="0" w:hanging="0"/>
              <w:jc w:val="right"/>
              <w:rPr/>
            </w:pPr>
            <w:r>
              <w:rPr/>
              <w:t>​</w:t>
            </w:r>
          </w:p>
        </w:tc>
      </w:tr>
      <w:tr>
        <w:trPr/>
        <w:tc>
          <w:tcPr>
            <w:tcW w:w="7171"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CURRENT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22" w:type="dxa"/>
            <w:tcBorders/>
            <w:vAlign w:val="center"/>
          </w:tcPr>
          <w:p>
            <w:pPr>
              <w:pStyle w:val="TableContents"/>
              <w:bidi w:val="0"/>
              <w:spacing w:before="0" w:after="0"/>
              <w:ind w:left="0" w:right="0" w:hanging="0"/>
              <w:jc w:val="right"/>
              <w:rPr/>
            </w:pPr>
            <w:r>
              <w:rPr/>
              <w:t>​</w:t>
            </w:r>
          </w:p>
        </w:tc>
      </w:tr>
      <w:tr>
        <w:trPr/>
        <w:tc>
          <w:tcPr>
            <w:tcW w:w="71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733,426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2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32,762</w:t>
            </w:r>
          </w:p>
        </w:tc>
      </w:tr>
      <w:tr>
        <w:trPr/>
        <w:tc>
          <w:tcPr>
            <w:tcW w:w="717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portion of long-term debt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2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37,279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2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35,902</w:t>
            </w:r>
          </w:p>
        </w:tc>
      </w:tr>
      <w:tr>
        <w:trPr/>
        <w:tc>
          <w:tcPr>
            <w:tcW w:w="71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Loans payable from premium finance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2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2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82,650</w:t>
            </w:r>
          </w:p>
        </w:tc>
      </w:tr>
      <w:tr>
        <w:trPr/>
        <w:tc>
          <w:tcPr>
            <w:tcW w:w="7171" w:type="dxa"/>
            <w:tcBorders/>
            <w:vAlign w:val="center"/>
          </w:tcPr>
          <w:p>
            <w:pPr>
              <w:pStyle w:val="TableContents"/>
              <w:pBdr/>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Due to a related party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9,713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2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5,204</w:t>
            </w:r>
          </w:p>
        </w:tc>
      </w:tr>
      <w:tr>
        <w:trPr/>
        <w:tc>
          <w:tcPr>
            <w:tcW w:w="71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liabilities, current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2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502,249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2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594,407</w:t>
            </w:r>
          </w:p>
        </w:tc>
      </w:tr>
      <w:tr>
        <w:trPr/>
        <w:tc>
          <w:tcPr>
            <w:tcW w:w="717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liabilities and other current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309,823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594,693</w:t>
            </w:r>
          </w:p>
        </w:tc>
      </w:tr>
      <w:tr>
        <w:trPr/>
        <w:tc>
          <w:tcPr>
            <w:tcW w:w="717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28"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1,592,490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22"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1,345,618</w:t>
            </w:r>
          </w:p>
        </w:tc>
      </w:tr>
      <w:tr>
        <w:trPr/>
        <w:tc>
          <w:tcPr>
            <w:tcW w:w="7171"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NONCURRENT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22" w:type="dxa"/>
            <w:tcBorders/>
            <w:vAlign w:val="center"/>
          </w:tcPr>
          <w:p>
            <w:pPr>
              <w:pStyle w:val="TableContents"/>
              <w:bidi w:val="0"/>
              <w:spacing w:before="0" w:after="0"/>
              <w:ind w:left="0" w:right="0" w:hanging="0"/>
              <w:jc w:val="right"/>
              <w:rPr/>
            </w:pPr>
            <w:r>
              <w:rPr/>
              <w:t>​</w:t>
            </w:r>
          </w:p>
        </w:tc>
      </w:tr>
      <w:tr>
        <w:trPr/>
        <w:tc>
          <w:tcPr>
            <w:tcW w:w="71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Long-term debt, net of current portion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2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552,570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2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572,653</w:t>
            </w:r>
          </w:p>
        </w:tc>
      </w:tr>
      <w:tr>
        <w:trPr/>
        <w:tc>
          <w:tcPr>
            <w:tcW w:w="717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liabilities, net of current portion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2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44,950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2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584,606</w:t>
            </w:r>
          </w:p>
        </w:tc>
      </w:tr>
      <w:tr>
        <w:trPr/>
        <w:tc>
          <w:tcPr>
            <w:tcW w:w="717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NONCURRENT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597,520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1,157,259</w:t>
            </w:r>
          </w:p>
        </w:tc>
      </w:tr>
      <w:tr>
        <w:trPr/>
        <w:tc>
          <w:tcPr>
            <w:tcW w:w="7171"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2,190,010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02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2,502,877</w:t>
            </w:r>
          </w:p>
        </w:tc>
      </w:tr>
      <w:tr>
        <w:trPr/>
        <w:tc>
          <w:tcPr>
            <w:tcW w:w="7171" w:type="dxa"/>
            <w:tcBorders/>
            <w:shd w:fill="CCEEFF" w:val="clear"/>
            <w:vAlign w:val="center"/>
          </w:tcPr>
          <w:p>
            <w:pPr>
              <w:pStyle w:val="TableContents"/>
              <w:pBdr/>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22" w:type="dxa"/>
            <w:tcBorders/>
            <w:shd w:fill="CCEEFF" w:val="clear"/>
            <w:vAlign w:val="center"/>
          </w:tcPr>
          <w:p>
            <w:pPr>
              <w:pStyle w:val="TableContents"/>
              <w:bidi w:val="0"/>
              <w:spacing w:before="0" w:after="0"/>
              <w:ind w:left="0" w:right="0" w:hanging="0"/>
              <w:jc w:val="right"/>
              <w:rPr/>
            </w:pPr>
            <w:r>
              <w:rPr/>
              <w:t>​</w:t>
            </w:r>
          </w:p>
        </w:tc>
      </w:tr>
      <w:tr>
        <w:trPr/>
        <w:tc>
          <w:tcPr>
            <w:tcW w:w="7171"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COMMITMENTS AND CONTINGENCIES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28"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22"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7171" w:type="dxa"/>
            <w:tcBorders/>
            <w:shd w:fill="CCEEFF" w:val="clear"/>
            <w:vAlign w:val="center"/>
          </w:tcPr>
          <w:p>
            <w:pPr>
              <w:pStyle w:val="TableContents"/>
              <w:pBdr/>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22" w:type="dxa"/>
            <w:tcBorders/>
            <w:shd w:fill="CCEEFF" w:val="clear"/>
            <w:vAlign w:val="center"/>
          </w:tcPr>
          <w:p>
            <w:pPr>
              <w:pStyle w:val="TableContents"/>
              <w:bidi w:val="0"/>
              <w:spacing w:before="0" w:after="0"/>
              <w:ind w:left="0" w:right="0" w:hanging="0"/>
              <w:jc w:val="right"/>
              <w:rPr/>
            </w:pPr>
            <w:r>
              <w:rPr/>
              <w:t>​</w:t>
            </w:r>
          </w:p>
        </w:tc>
      </w:tr>
      <w:tr>
        <w:trPr/>
        <w:tc>
          <w:tcPr>
            <w:tcW w:w="7171"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STOCKHOLDERS’ EQUITY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22" w:type="dxa"/>
            <w:tcBorders/>
            <w:vAlign w:val="center"/>
          </w:tcPr>
          <w:p>
            <w:pPr>
              <w:pStyle w:val="TableContents"/>
              <w:bidi w:val="0"/>
              <w:spacing w:before="0" w:after="0"/>
              <w:ind w:left="0" w:right="0" w:hanging="0"/>
              <w:jc w:val="right"/>
              <w:rPr/>
            </w:pPr>
            <w:r>
              <w:rPr/>
              <w:t>​</w:t>
            </w:r>
          </w:p>
        </w:tc>
      </w:tr>
      <w:tr>
        <w:trPr/>
        <w:tc>
          <w:tcPr>
            <w:tcW w:w="71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stock, $0.0001 par value, 2,200,000,000 and 1,000,000,000 shares authorized; 3,159,391 and 17,096 shares issued and outstanding as of June 30, 2026, and December 31, 2025, respectively, including: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2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22" w:type="dxa"/>
            <w:tcBorders/>
            <w:shd w:fill="CCEEFF" w:val="clear"/>
            <w:vAlign w:val="center"/>
          </w:tcPr>
          <w:p>
            <w:pPr>
              <w:pStyle w:val="TableContents"/>
              <w:bidi w:val="0"/>
              <w:spacing w:before="0" w:after="0"/>
              <w:ind w:left="0" w:right="0" w:hanging="0"/>
              <w:jc w:val="right"/>
              <w:rPr/>
            </w:pPr>
            <w:r>
              <w:rPr/>
              <w:t>​</w:t>
            </w:r>
          </w:p>
        </w:tc>
      </w:tr>
      <w:tr>
        <w:trPr/>
        <w:tc>
          <w:tcPr>
            <w:tcW w:w="717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Class A common stock, $0.0001 par value, 2,000,000,000 and 891,750,000 shares authorized; 2,955,935 and 13,640 shares issued and outstanding as of June 30, 2026, and December 31, 2025, respectively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2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2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r>
      <w:tr>
        <w:trPr/>
        <w:tc>
          <w:tcPr>
            <w:tcW w:w="71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Class B common stock, $0.0001 par value, 200,000,000 and 108,250,000 shares authorized; 203,456 and 3,456 shares issued and outstanding as of June 30, 2026, and December 31, 2025,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22" w:type="dxa"/>
            <w:tcBorders/>
            <w:shd w:fill="CCEEFF" w:val="clear"/>
            <w:vAlign w:val="center"/>
          </w:tcPr>
          <w:p>
            <w:pPr>
              <w:pStyle w:val="TableContents"/>
              <w:bidi w:val="0"/>
              <w:spacing w:before="0" w:after="0"/>
              <w:ind w:left="0" w:right="0" w:hanging="0"/>
              <w:jc w:val="right"/>
              <w:rPr/>
            </w:pPr>
            <w:r>
              <w:rPr/>
              <w:t>—</w:t>
            </w:r>
          </w:p>
        </w:tc>
      </w:tr>
      <w:tr>
        <w:trPr/>
        <w:tc>
          <w:tcPr>
            <w:tcW w:w="717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Additional paid-in capital</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2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89,201,800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2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17,685,900</w:t>
            </w:r>
          </w:p>
        </w:tc>
      </w:tr>
      <w:tr>
        <w:trPr/>
        <w:tc>
          <w:tcPr>
            <w:tcW w:w="71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Accumulated deficit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(8,875,534)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(8,330,314)</w:t>
            </w:r>
          </w:p>
        </w:tc>
      </w:tr>
      <w:tr>
        <w:trPr/>
        <w:tc>
          <w:tcPr>
            <w:tcW w:w="7171"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STOCKHOLDERS’ EQUITY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28"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80,326,582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22"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9,355,587</w:t>
            </w:r>
          </w:p>
        </w:tc>
      </w:tr>
      <w:tr>
        <w:trPr/>
        <w:tc>
          <w:tcPr>
            <w:tcW w:w="7171" w:type="dxa"/>
            <w:tcBorders/>
            <w:shd w:fill="CCEEFF" w:val="clear"/>
            <w:vAlign w:val="center"/>
          </w:tcPr>
          <w:p>
            <w:pPr>
              <w:pStyle w:val="TableContents"/>
              <w:pBdr/>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22" w:type="dxa"/>
            <w:tcBorders/>
            <w:shd w:fill="CCEEFF" w:val="clear"/>
            <w:vAlign w:val="center"/>
          </w:tcPr>
          <w:p>
            <w:pPr>
              <w:pStyle w:val="TableContents"/>
              <w:bidi w:val="0"/>
              <w:spacing w:before="0" w:after="0"/>
              <w:ind w:left="0" w:right="0" w:hanging="0"/>
              <w:jc w:val="right"/>
              <w:rPr/>
            </w:pPr>
            <w:r>
              <w:rPr/>
              <w:t>​</w:t>
            </w:r>
          </w:p>
        </w:tc>
      </w:tr>
      <w:tr>
        <w:trPr/>
        <w:tc>
          <w:tcPr>
            <w:tcW w:w="7171"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LIABILITIES AND STOCKHOLDERS’ EQUITY</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82,516,592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022"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16"/>
              </w:rPr>
            </w:pPr>
            <w:r>
              <w:rPr>
                <w:rFonts w:ascii="Times New Roman;Times;serif" w:hAnsi="Times New Roman;Times;serif"/>
                <w:b/>
                <w:sz w:val="16"/>
              </w:rPr>
              <w:t>11,858,464</w:t>
            </w:r>
          </w:p>
        </w:tc>
      </w:tr>
    </w:tbl>
    <w:p>
      <w:pPr>
        <w:pStyle w:val="TextBody"/>
        <w:bidi w:val="0"/>
        <w:spacing w:before="0" w:after="240"/>
        <w:ind w:left="0" w:right="0" w:hanging="0"/>
        <w:jc w:val="both"/>
        <w:rPr>
          <w:rFonts w:ascii="Times New Roman;Times;serif" w:hAnsi="Times New Roman;Times;serif"/>
          <w:sz w:val="20"/>
        </w:rPr>
      </w:pPr>
      <w:bookmarkStart w:id="157" w:name="_3ba2cf8d_1ece_44a4_bd5d_a9666fde90ee"/>
      <w:bookmarkEnd w:id="157"/>
      <w:r>
        <w:rPr>
          <w:rFonts w:ascii="Times New Roman;Times;serif" w:hAnsi="Times New Roman;Times;serif"/>
          <w:sz w:val="20"/>
        </w:rPr>
        <w:t>* Retrospectively restated for effect of the Company’s amended and restated articles of incorporation and bylaws and the reverse split took effect on April 29, 2026. See also Note 16.</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58" w:name="_716476ac_0c92_48dd_9637_185d35aceb9a"/>
      <w:bookmarkEnd w:id="158"/>
      <w:r>
        <w:rPr>
          <w:rFonts w:ascii="Times New Roman;Times;serif" w:hAnsi="Times New Roman;Times;serif"/>
          <w:b/>
          <w:sz w:val="20"/>
        </w:rPr>
        <w:t>CHEETAH NET SUPPLY CHAIN SERVICE INC.</w:t>
      </w:r>
    </w:p>
    <w:p>
      <w:pPr>
        <w:pStyle w:val="TextBody"/>
        <w:bidi w:val="0"/>
        <w:spacing w:before="0" w:after="0"/>
        <w:ind w:left="0" w:right="0" w:hanging="0"/>
        <w:jc w:val="center"/>
        <w:rPr>
          <w:rFonts w:ascii="Times New Roman;Times;serif" w:hAnsi="Times New Roman;Times;serif"/>
          <w:b/>
          <w:sz w:val="20"/>
        </w:rPr>
      </w:pPr>
      <w:bookmarkStart w:id="159" w:name="STATEMENTSOFOPERATIONS_453258"/>
      <w:bookmarkEnd w:id="159"/>
      <w:r>
        <w:rPr>
          <w:rFonts w:ascii="Times New Roman;Times;serif" w:hAnsi="Times New Roman;Times;serif"/>
          <w:b/>
          <w:sz w:val="20"/>
        </w:rPr>
        <w:t>CONSOLIDATED STATEMENTS OF OPERATIONS</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60" w:name="Tc_u4Q8aNGe70uhfy8ptxcYwA_37_0"/>
      <w:bookmarkStart w:id="161" w:name="Tc_lKAXcdw6dUG8VnZjBDvBEA_36_11"/>
      <w:bookmarkStart w:id="162" w:name="Tc_b8qTXRcSrk-AEreqpCaWhg_36_8"/>
      <w:bookmarkStart w:id="163" w:name="Tc_pOZ2TZY9lEGVL_NP0acX8w_36_5"/>
      <w:bookmarkStart w:id="164" w:name="Tc_SCimAxRReEiQrc68gg2OVA_36_2"/>
      <w:bookmarkStart w:id="165" w:name="Tc_XnOBVBY55kKk8l9c4B2t0Q_36_0"/>
      <w:bookmarkStart w:id="166" w:name="Tc_1nLra-h6Q0GK1uK4J0LsMQ_35_11"/>
      <w:bookmarkStart w:id="167" w:name="Tc_cSvY1Dy5c0OUopu4LdwlaQ_35_8"/>
      <w:bookmarkStart w:id="168" w:name="Tc_GCf1tQGNLUOa_Q5oRo6Dgg_35_5"/>
      <w:bookmarkStart w:id="169" w:name="Tc_BHgGWN69RUGnvEQv-_QggA_35_2"/>
      <w:bookmarkStart w:id="170" w:name="Tc_3c8U409100anakuSRbquLQ_35_0"/>
      <w:bookmarkStart w:id="171" w:name="Tc_KeOVuqWle0e0SUPBwVkFqw_34_11"/>
      <w:bookmarkStart w:id="172" w:name="Tc_iizwV8BA9EyOk5VtYzGHPQ_34_8"/>
      <w:bookmarkStart w:id="173" w:name="Tc_oqI-INY2vk2m2d3q93ZF5g_34_5"/>
      <w:bookmarkStart w:id="174" w:name="Tc_qFpdWVVaGkq1y6neNMo4Wg_34_2"/>
      <w:bookmarkStart w:id="175" w:name="Tc_xZnRapt3qEuA5oLHQV0chA_34_0"/>
      <w:bookmarkStart w:id="176" w:name="Tc_fTWadLpF9Ueu7tGsJsk-Ng_32_11"/>
      <w:bookmarkStart w:id="177" w:name="Tc_zsDQSgAQWU-rbuPQpstQBg_32_8"/>
      <w:bookmarkStart w:id="178" w:name="Tc_nKcGtLP_0EK9Wq6gZWou2w_32_5"/>
      <w:bookmarkStart w:id="179" w:name="Tc_xxhHOXTi5EWbumXekcbSww_32_2"/>
      <w:bookmarkStart w:id="180" w:name="Tc_ZnPQFuLHQke8Nn9AeJdTAQ_32_0"/>
      <w:bookmarkStart w:id="181" w:name="Tc_zUpzt-6FxUutMtIYkZC9dg_30_12"/>
      <w:bookmarkStart w:id="182" w:name="Tc_HF2H2KVJkEqcTlKuIMYYQg_30_9"/>
      <w:bookmarkStart w:id="183" w:name="Tc_QDLvHxEpQ06fqUKIuXELLg_30_6"/>
      <w:bookmarkStart w:id="184" w:name="Tc_AoJwp6mGZUS0luxFFwRobw_30_3"/>
      <w:bookmarkStart w:id="185" w:name="Tc_G6OY2q4Z8Ea0wTFmfDQLPw_30_0"/>
      <w:bookmarkStart w:id="186" w:name="Tc_5C8dTzFhDke6Cq4UN8j1hw_28_0"/>
      <w:bookmarkStart w:id="187" w:name="Tc_bAngXydIwkqQCXgXxBJi2Q_26_0"/>
      <w:bookmarkStart w:id="188" w:name="Tc_iu8mpqWN1kq4eZmsQ_9GpQ_24_0"/>
      <w:bookmarkStart w:id="189" w:name="Tc_TgapN4EkhUWVl9BF2QXH-w_22_0"/>
      <w:bookmarkStart w:id="190" w:name="Tc_FJm-M29MKU-3zalpQstkEQ_21_0"/>
      <w:bookmarkStart w:id="191" w:name="Tc_elbdewUZc0myYzqZdbIlQw_20_12"/>
      <w:bookmarkStart w:id="192" w:name="Tc__DYRFsZoNkKR0SrTjE21SA_20_6"/>
      <w:bookmarkStart w:id="193" w:name="Tc_nPVa_2OZgEOBjjK5QVeknw_20_0"/>
      <w:bookmarkStart w:id="194" w:name="Tc_6U4q4NUCh0GTwE9mgdMOHQ_19_0"/>
      <w:bookmarkStart w:id="195" w:name="Tc_wcyacI6Z5EKoQx-378svBQ_18_0"/>
      <w:bookmarkStart w:id="196" w:name="Tc_CXuaPshNWEisY4b0bGNrlA_17_0"/>
      <w:bookmarkStart w:id="197" w:name="Tc_2RNNcyR51k6Cmpq763Nm_w_15_0"/>
      <w:bookmarkStart w:id="198" w:name="Tc_hHYVimirOUysGWR0vwXVaQ_13_0"/>
      <w:bookmarkStart w:id="199" w:name="Tc_k9hPpzy1UUmdDD2QZxJBDg_12_0"/>
      <w:bookmarkStart w:id="200" w:name="Tc_-0cgkg3S80C_-kJMeOFSVg_11_0"/>
      <w:bookmarkStart w:id="201" w:name="Tc_Ps3zcGmyxEeQhlnndB_l4w_10_0"/>
      <w:bookmarkStart w:id="202" w:name="Tc_czgx_IgmpE-REfAgFlxt7Q_8_0"/>
      <w:bookmarkStart w:id="203" w:name="Tc_eApUiLGT6US7p_n3d3MrFA_6_0"/>
      <w:bookmarkStart w:id="204" w:name="Tc_tx9AS0L3Cki9RcgJtFRsxw_4_11"/>
      <w:bookmarkStart w:id="205" w:name="Tc_CJp7xnxzF06i8PMNwiB7bg_4_8"/>
      <w:bookmarkStart w:id="206" w:name="Tc_zJPNF8meOk2_mhxI0Vy_LA_4_5"/>
      <w:bookmarkStart w:id="207" w:name="Tc_v3HwiAC7k0maNvIo5slYKA_4_2"/>
      <w:bookmarkStart w:id="208" w:name="Tc_UC-UAvpL-kKWMppQWblPFQ_4_0"/>
      <w:bookmarkStart w:id="209" w:name="Tc_wabAknx-6kq3qSZ0zzRjkg_3_11"/>
      <w:bookmarkStart w:id="210" w:name="Tc_r32d1vj2jUKk4hTFtt0IiA_3_8"/>
      <w:bookmarkStart w:id="211" w:name="Tc_OqucmQB0-0u7BZgNLlYSqw_3_5"/>
      <w:bookmarkStart w:id="212" w:name="Tc_ds077oEnZkKtrjYReBYPBA_3_2"/>
      <w:bookmarkStart w:id="213" w:name="Tc_XfNpG7Ge1Uyef7YjGatkCg_2_11"/>
      <w:bookmarkStart w:id="214" w:name="Tc_ts7u3sQwB0WpoV87igvdBw_2_8"/>
      <w:bookmarkStart w:id="215" w:name="Tc_wGGaoEU9w0qHHNCG4ffdGw_2_5"/>
      <w:bookmarkStart w:id="216" w:name="Tc_L8AR3xsm8kqMEmsw9Zoonw_2_2"/>
      <w:bookmarkStart w:id="217" w:name="Tc_9ZXAw1r3-UuOdOFuL-KLvw_1_8"/>
      <w:bookmarkStart w:id="218" w:name="Tc_HjP2OZuUrU2vNVoHGkfo2A_1_2"/>
      <w:bookmarkStart w:id="219" w:name="_3185702c_cdad_4a6a_9b83_e3068068f04c"/>
      <w:bookmarkStart w:id="220" w:name="_2438cb4d_c22c_4e83_a46e_79a509b876fb"/>
      <w:bookmarkStart w:id="221" w:name="Tc_u4Q8aNGe70uhfy8ptxcYwA_37_0"/>
      <w:bookmarkStart w:id="222" w:name="Tc_lKAXcdw6dUG8VnZjBDvBEA_36_11"/>
      <w:bookmarkStart w:id="223" w:name="Tc_b8qTXRcSrk-AEreqpCaWhg_36_8"/>
      <w:bookmarkStart w:id="224" w:name="Tc_pOZ2TZY9lEGVL_NP0acX8w_36_5"/>
      <w:bookmarkStart w:id="225" w:name="Tc_SCimAxRReEiQrc68gg2OVA_36_2"/>
      <w:bookmarkStart w:id="226" w:name="Tc_XnOBVBY55kKk8l9c4B2t0Q_36_0"/>
      <w:bookmarkStart w:id="227" w:name="Tc_1nLra-h6Q0GK1uK4J0LsMQ_35_11"/>
      <w:bookmarkStart w:id="228" w:name="Tc_cSvY1Dy5c0OUopu4LdwlaQ_35_8"/>
      <w:bookmarkStart w:id="229" w:name="Tc_GCf1tQGNLUOa_Q5oRo6Dgg_35_5"/>
      <w:bookmarkStart w:id="230" w:name="Tc_BHgGWN69RUGnvEQv-_QggA_35_2"/>
      <w:bookmarkStart w:id="231" w:name="Tc_3c8U409100anakuSRbquLQ_35_0"/>
      <w:bookmarkStart w:id="232" w:name="Tc_KeOVuqWle0e0SUPBwVkFqw_34_11"/>
      <w:bookmarkStart w:id="233" w:name="Tc_iizwV8BA9EyOk5VtYzGHPQ_34_8"/>
      <w:bookmarkStart w:id="234" w:name="Tc_oqI-INY2vk2m2d3q93ZF5g_34_5"/>
      <w:bookmarkStart w:id="235" w:name="Tc_qFpdWVVaGkq1y6neNMo4Wg_34_2"/>
      <w:bookmarkStart w:id="236" w:name="Tc_xZnRapt3qEuA5oLHQV0chA_34_0"/>
      <w:bookmarkStart w:id="237" w:name="Tc_fTWadLpF9Ueu7tGsJsk-Ng_32_11"/>
      <w:bookmarkStart w:id="238" w:name="Tc_zsDQSgAQWU-rbuPQpstQBg_32_8"/>
      <w:bookmarkStart w:id="239" w:name="Tc_nKcGtLP_0EK9Wq6gZWou2w_32_5"/>
      <w:bookmarkStart w:id="240" w:name="Tc_xxhHOXTi5EWbumXekcbSww_32_2"/>
      <w:bookmarkStart w:id="241" w:name="Tc_ZnPQFuLHQke8Nn9AeJdTAQ_32_0"/>
      <w:bookmarkStart w:id="242" w:name="Tc_zUpzt-6FxUutMtIYkZC9dg_30_12"/>
      <w:bookmarkStart w:id="243" w:name="Tc_HF2H2KVJkEqcTlKuIMYYQg_30_9"/>
      <w:bookmarkStart w:id="244" w:name="Tc_QDLvHxEpQ06fqUKIuXELLg_30_6"/>
      <w:bookmarkStart w:id="245" w:name="Tc_AoJwp6mGZUS0luxFFwRobw_30_3"/>
      <w:bookmarkStart w:id="246" w:name="Tc_G6OY2q4Z8Ea0wTFmfDQLPw_30_0"/>
      <w:bookmarkStart w:id="247" w:name="Tc_5C8dTzFhDke6Cq4UN8j1hw_28_0"/>
      <w:bookmarkStart w:id="248" w:name="Tc_bAngXydIwkqQCXgXxBJi2Q_26_0"/>
      <w:bookmarkStart w:id="249" w:name="Tc_iu8mpqWN1kq4eZmsQ_9GpQ_24_0"/>
      <w:bookmarkStart w:id="250" w:name="Tc_TgapN4EkhUWVl9BF2QXH-w_22_0"/>
      <w:bookmarkStart w:id="251" w:name="Tc_FJm-M29MKU-3zalpQstkEQ_21_0"/>
      <w:bookmarkStart w:id="252" w:name="Tc_elbdewUZc0myYzqZdbIlQw_20_12"/>
      <w:bookmarkStart w:id="253" w:name="Tc__DYRFsZoNkKR0SrTjE21SA_20_6"/>
      <w:bookmarkStart w:id="254" w:name="Tc_nPVa_2OZgEOBjjK5QVeknw_20_0"/>
      <w:bookmarkStart w:id="255" w:name="Tc_6U4q4NUCh0GTwE9mgdMOHQ_19_0"/>
      <w:bookmarkStart w:id="256" w:name="Tc_wcyacI6Z5EKoQx-378svBQ_18_0"/>
      <w:bookmarkStart w:id="257" w:name="Tc_CXuaPshNWEisY4b0bGNrlA_17_0"/>
      <w:bookmarkStart w:id="258" w:name="Tc_2RNNcyR51k6Cmpq763Nm_w_15_0"/>
      <w:bookmarkStart w:id="259" w:name="Tc_hHYVimirOUysGWR0vwXVaQ_13_0"/>
      <w:bookmarkStart w:id="260" w:name="Tc_k9hPpzy1UUmdDD2QZxJBDg_12_0"/>
      <w:bookmarkStart w:id="261" w:name="Tc_-0cgkg3S80C_-kJMeOFSVg_11_0"/>
      <w:bookmarkStart w:id="262" w:name="Tc_Ps3zcGmyxEeQhlnndB_l4w_10_0"/>
      <w:bookmarkStart w:id="263" w:name="Tc_czgx_IgmpE-REfAgFlxt7Q_8_0"/>
      <w:bookmarkStart w:id="264" w:name="Tc_eApUiLGT6US7p_n3d3MrFA_6_0"/>
      <w:bookmarkStart w:id="265" w:name="Tc_tx9AS0L3Cki9RcgJtFRsxw_4_11"/>
      <w:bookmarkStart w:id="266" w:name="Tc_CJp7xnxzF06i8PMNwiB7bg_4_8"/>
      <w:bookmarkStart w:id="267" w:name="Tc_zJPNF8meOk2_mhxI0Vy_LA_4_5"/>
      <w:bookmarkStart w:id="268" w:name="Tc_v3HwiAC7k0maNvIo5slYKA_4_2"/>
      <w:bookmarkStart w:id="269" w:name="Tc_UC-UAvpL-kKWMppQWblPFQ_4_0"/>
      <w:bookmarkStart w:id="270" w:name="Tc_wabAknx-6kq3qSZ0zzRjkg_3_11"/>
      <w:bookmarkStart w:id="271" w:name="Tc_r32d1vj2jUKk4hTFtt0IiA_3_8"/>
      <w:bookmarkStart w:id="272" w:name="Tc_OqucmQB0-0u7BZgNLlYSqw_3_5"/>
      <w:bookmarkStart w:id="273" w:name="Tc_ds077oEnZkKtrjYReBYPBA_3_2"/>
      <w:bookmarkStart w:id="274" w:name="Tc_XfNpG7Ge1Uyef7YjGatkCg_2_11"/>
      <w:bookmarkStart w:id="275" w:name="Tc_ts7u3sQwB0WpoV87igvdBw_2_8"/>
      <w:bookmarkStart w:id="276" w:name="Tc_wGGaoEU9w0qHHNCG4ffdGw_2_5"/>
      <w:bookmarkStart w:id="277" w:name="Tc_L8AR3xsm8kqMEmsw9Zoonw_2_2"/>
      <w:bookmarkStart w:id="278" w:name="Tc_9ZXAw1r3-UuOdOFuL-KLvw_1_8"/>
      <w:bookmarkStart w:id="279" w:name="Tc_HjP2OZuUrU2vNVoHGkfo2A_1_2"/>
      <w:bookmarkStart w:id="280" w:name="_3185702c_cdad_4a6a_9b83_e3068068f04c"/>
      <w:bookmarkStart w:id="281" w:name="_2438cb4d_c22c_4e83_a46e_79a509b876fb"/>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p>
    <w:tbl>
      <w:tblPr>
        <w:tblW w:w="10205" w:type="dxa"/>
        <w:jc w:val="left"/>
        <w:tblInd w:w="0" w:type="dxa"/>
        <w:tblLayout w:type="fixed"/>
        <w:tblCellMar>
          <w:top w:w="0" w:type="dxa"/>
          <w:left w:w="0" w:type="dxa"/>
          <w:bottom w:w="0" w:type="dxa"/>
          <w:right w:w="0" w:type="dxa"/>
        </w:tblCellMar>
      </w:tblPr>
      <w:tblGrid>
        <w:gridCol w:w="3978"/>
        <w:gridCol w:w="346"/>
        <w:gridCol w:w="221"/>
        <w:gridCol w:w="975"/>
        <w:gridCol w:w="362"/>
        <w:gridCol w:w="221"/>
        <w:gridCol w:w="909"/>
        <w:gridCol w:w="346"/>
        <w:gridCol w:w="211"/>
        <w:gridCol w:w="1016"/>
        <w:gridCol w:w="346"/>
        <w:gridCol w:w="211"/>
        <w:gridCol w:w="1063"/>
      </w:tblGrid>
      <w:tr>
        <w:trPr/>
        <w:tc>
          <w:tcPr>
            <w:tcW w:w="39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526030" cy="175260"/>
                      <wp:effectExtent l="0" t="0" r="0" b="0"/>
                      <wp:wrapNone/>
                      <wp:docPr id="15" name="Frame15"/>
                      <a:graphic xmlns:a="http://schemas.openxmlformats.org/drawingml/2006/main">
                        <a:graphicData uri="http://schemas.microsoft.com/office/word/2010/wordprocessingShape">
                          <wps:wsp>
                            <wps:cNvSpPr txBox="1"/>
                            <wps:spPr>
                              <a:xfrm>
                                <a:off x="0" y="0"/>
                                <a:ext cx="2526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16" name="Frame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40335" cy="175260"/>
                      <wp:effectExtent l="0" t="0" r="0" b="0"/>
                      <wp:wrapNone/>
                      <wp:docPr id="17" name="Frame17"/>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19125" cy="175260"/>
                      <wp:effectExtent l="0" t="0" r="0" b="0"/>
                      <wp:wrapNone/>
                      <wp:docPr id="18" name="Frame18"/>
                      <a:graphic xmlns:a="http://schemas.openxmlformats.org/drawingml/2006/main">
                        <a:graphicData uri="http://schemas.microsoft.com/office/word/2010/wordprocessingShape">
                          <wps:wsp>
                            <wps:cNvSpPr txBox="1"/>
                            <wps:spPr>
                              <a:xfrm>
                                <a:off x="0" y="0"/>
                                <a:ext cx="619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29870" cy="175260"/>
                      <wp:effectExtent l="0" t="0" r="0" b="0"/>
                      <wp:wrapNone/>
                      <wp:docPr id="19" name="Frame19"/>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40335" cy="175260"/>
                      <wp:effectExtent l="0" t="0" r="0" b="0"/>
                      <wp:wrapNone/>
                      <wp:docPr id="20" name="Frame20"/>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577215" cy="175260"/>
                      <wp:effectExtent l="0" t="0" r="0" b="0"/>
                      <wp:wrapNone/>
                      <wp:docPr id="21" name="Frame21"/>
                      <a:graphic xmlns:a="http://schemas.openxmlformats.org/drawingml/2006/main">
                        <a:graphicData uri="http://schemas.microsoft.com/office/word/2010/wordprocessingShape">
                          <wps:wsp>
                            <wps:cNvSpPr txBox="1"/>
                            <wps:spPr>
                              <a:xfrm>
                                <a:off x="0" y="0"/>
                                <a:ext cx="577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22"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3985" cy="175260"/>
                      <wp:effectExtent l="0" t="0" r="0" b="0"/>
                      <wp:wrapNone/>
                      <wp:docPr id="23" name="Frame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5160" cy="175260"/>
                      <wp:effectExtent l="0" t="0" r="0" b="0"/>
                      <wp:wrapNone/>
                      <wp:docPr id="24" name="Frame24"/>
                      <a:graphic xmlns:a="http://schemas.openxmlformats.org/drawingml/2006/main">
                        <a:graphicData uri="http://schemas.microsoft.com/office/word/2010/wordprocessingShape">
                          <wps:wsp>
                            <wps:cNvSpPr txBox="1"/>
                            <wps:spPr>
                              <a:xfrm>
                                <a:off x="0" y="0"/>
                                <a:ext cx="64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25"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33985" cy="175260"/>
                      <wp:effectExtent l="0" t="0" r="0" b="0"/>
                      <wp:wrapNone/>
                      <wp:docPr id="26" name="Frame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75005" cy="175260"/>
                      <wp:effectExtent l="0" t="0" r="0" b="0"/>
                      <wp:wrapNone/>
                      <wp:docPr id="27" name="Frame27"/>
                      <a:graphic xmlns:a="http://schemas.openxmlformats.org/drawingml/2006/main">
                        <a:graphicData uri="http://schemas.microsoft.com/office/word/2010/wordprocessingShape">
                          <wps:wsp>
                            <wps:cNvSpPr txBox="1"/>
                            <wps:spPr>
                              <a:xfrm>
                                <a:off x="0" y="0"/>
                                <a:ext cx="675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7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68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 </w:t>
            </w:r>
          </w:p>
        </w:tc>
        <w:tc>
          <w:tcPr>
            <w:tcW w:w="346" w:type="dxa"/>
            <w:tcBorders/>
            <w:vAlign w:val="center"/>
          </w:tcPr>
          <w:p>
            <w:pPr>
              <w:pStyle w:val="TableContents"/>
              <w:bidi w:val="0"/>
              <w:spacing w:before="0" w:after="0"/>
              <w:ind w:left="0" w:right="0" w:hanging="0"/>
              <w:jc w:val="center"/>
              <w:rPr/>
            </w:pPr>
            <w:r>
              <w:rPr/>
              <w:t>  ​ ​ ​</w:t>
            </w:r>
          </w:p>
        </w:tc>
        <w:tc>
          <w:tcPr>
            <w:tcW w:w="284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 </w:t>
            </w:r>
          </w:p>
        </w:tc>
      </w:tr>
      <w:tr>
        <w:trPr/>
        <w:tc>
          <w:tcPr>
            <w:tcW w:w="397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2" w:type="dxa"/>
            <w:tcBorders/>
            <w:vAlign w:val="center"/>
          </w:tcPr>
          <w:p>
            <w:pPr>
              <w:pStyle w:val="TableContents"/>
              <w:bidi w:val="0"/>
              <w:spacing w:before="0" w:after="0"/>
              <w:ind w:left="0" w:right="0" w:hanging="0"/>
              <w:jc w:val="center"/>
              <w:rPr/>
            </w:pPr>
            <w:r>
              <w:rPr/>
              <w:t>  ​ ​ ​</w:t>
            </w:r>
          </w:p>
        </w:tc>
        <w:tc>
          <w:tcPr>
            <w:tcW w:w="11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2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2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97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(Unaudited) </w:t>
            </w:r>
          </w:p>
        </w:tc>
        <w:tc>
          <w:tcPr>
            <w:tcW w:w="362" w:type="dxa"/>
            <w:tcBorders/>
            <w:vAlign w:val="center"/>
          </w:tcPr>
          <w:p>
            <w:pPr>
              <w:pStyle w:val="TableContents"/>
              <w:bidi w:val="0"/>
              <w:spacing w:before="0" w:after="0"/>
              <w:ind w:left="0" w:right="0" w:hanging="0"/>
              <w:jc w:val="left"/>
              <w:rPr/>
            </w:pPr>
            <w:r>
              <w:rPr/>
              <w:t>​</w:t>
            </w:r>
          </w:p>
        </w:tc>
        <w:tc>
          <w:tcPr>
            <w:tcW w:w="11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(Unaudited) </w:t>
            </w:r>
          </w:p>
        </w:tc>
        <w:tc>
          <w:tcPr>
            <w:tcW w:w="346" w:type="dxa"/>
            <w:tcBorders/>
            <w:vAlign w:val="center"/>
          </w:tcPr>
          <w:p>
            <w:pPr>
              <w:pStyle w:val="TableContents"/>
              <w:bidi w:val="0"/>
              <w:spacing w:before="0" w:after="0"/>
              <w:ind w:left="0" w:right="0" w:hanging="0"/>
              <w:jc w:val="center"/>
              <w:rPr/>
            </w:pPr>
            <w:r>
              <w:rPr/>
              <w:t>​</w:t>
            </w:r>
          </w:p>
        </w:tc>
        <w:tc>
          <w:tcPr>
            <w:tcW w:w="12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(Unaudited) </w:t>
            </w:r>
          </w:p>
        </w:tc>
        <w:tc>
          <w:tcPr>
            <w:tcW w:w="346" w:type="dxa"/>
            <w:tcBorders/>
            <w:vAlign w:val="center"/>
          </w:tcPr>
          <w:p>
            <w:pPr>
              <w:pStyle w:val="TableContents"/>
              <w:bidi w:val="0"/>
              <w:spacing w:before="0" w:after="0"/>
              <w:ind w:left="0" w:right="0" w:hanging="0"/>
              <w:jc w:val="center"/>
              <w:rPr/>
            </w:pPr>
            <w:r>
              <w:rPr/>
              <w:t>​</w:t>
            </w:r>
          </w:p>
        </w:tc>
        <w:tc>
          <w:tcPr>
            <w:tcW w:w="12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(Unaudited) </w:t>
            </w:r>
          </w:p>
        </w:tc>
      </w:tr>
      <w:tr>
        <w:trPr/>
        <w:tc>
          <w:tcPr>
            <w:tcW w:w="397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75"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868,909</w:t>
            </w:r>
          </w:p>
        </w:tc>
        <w:tc>
          <w:tcPr>
            <w:tcW w:w="362"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354,126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961,609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6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833,925</w:t>
            </w:r>
          </w:p>
        </w:tc>
      </w:tr>
      <w:tr>
        <w:trPr/>
        <w:tc>
          <w:tcPr>
            <w:tcW w:w="397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975"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3" w:type="dxa"/>
            <w:tcBorders/>
            <w:vAlign w:val="center"/>
          </w:tcPr>
          <w:p>
            <w:pPr>
              <w:pStyle w:val="TableContents"/>
              <w:bidi w:val="0"/>
              <w:spacing w:before="0" w:after="0"/>
              <w:ind w:left="0" w:right="0" w:hanging="0"/>
              <w:jc w:val="right"/>
              <w:rPr/>
            </w:pPr>
            <w:r>
              <w:rPr/>
              <w:t>​</w:t>
            </w:r>
          </w:p>
        </w:tc>
      </w:tr>
      <w:tr>
        <w:trPr/>
        <w:tc>
          <w:tcPr>
            <w:tcW w:w="397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9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849,409</w:t>
            </w:r>
          </w:p>
        </w:tc>
        <w:tc>
          <w:tcPr>
            <w:tcW w:w="362"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319,226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922,242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742,769</w:t>
            </w:r>
          </w:p>
        </w:tc>
      </w:tr>
      <w:tr>
        <w:trPr/>
        <w:tc>
          <w:tcPr>
            <w:tcW w:w="397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975"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3" w:type="dxa"/>
            <w:tcBorders/>
            <w:vAlign w:val="center"/>
          </w:tcPr>
          <w:p>
            <w:pPr>
              <w:pStyle w:val="TableContents"/>
              <w:bidi w:val="0"/>
              <w:spacing w:before="0" w:after="0"/>
              <w:ind w:left="0" w:right="0" w:hanging="0"/>
              <w:jc w:val="right"/>
              <w:rPr/>
            </w:pPr>
            <w:r>
              <w:rPr/>
              <w:t>​</w:t>
            </w:r>
          </w:p>
        </w:tc>
      </w:tr>
      <w:tr>
        <w:trPr/>
        <w:tc>
          <w:tcPr>
            <w:tcW w:w="397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19,500</w:t>
            </w:r>
          </w:p>
        </w:tc>
        <w:tc>
          <w:tcPr>
            <w:tcW w:w="362"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34,900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39,367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91,156</w:t>
            </w:r>
          </w:p>
        </w:tc>
      </w:tr>
      <w:tr>
        <w:trPr/>
        <w:tc>
          <w:tcPr>
            <w:tcW w:w="397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975"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3" w:type="dxa"/>
            <w:tcBorders/>
            <w:vAlign w:val="center"/>
          </w:tcPr>
          <w:p>
            <w:pPr>
              <w:pStyle w:val="TableContents"/>
              <w:bidi w:val="0"/>
              <w:spacing w:before="0" w:after="0"/>
              <w:ind w:left="0" w:right="0" w:hanging="0"/>
              <w:jc w:val="right"/>
              <w:rPr/>
            </w:pPr>
            <w:r>
              <w:rPr/>
              <w:t>​</w:t>
            </w:r>
          </w:p>
        </w:tc>
      </w:tr>
      <w:tr>
        <w:trPr/>
        <w:tc>
          <w:tcPr>
            <w:tcW w:w="397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975" w:type="dxa"/>
            <w:tcBorders/>
            <w:shd w:fill="CCEEFF" w:val="clear"/>
            <w:vAlign w:val="center"/>
          </w:tcPr>
          <w:p>
            <w:pPr>
              <w:pStyle w:val="TableContents"/>
              <w:bidi w:val="0"/>
              <w:spacing w:before="0" w:after="0"/>
              <w:ind w:left="0" w:right="0" w:hanging="0"/>
              <w:jc w:val="right"/>
              <w:rPr/>
            </w:pPr>
            <w:r>
              <w:rPr/>
              <w:t>  ​</w:t>
            </w:r>
          </w:p>
        </w:tc>
        <w:tc>
          <w:tcPr>
            <w:tcW w:w="362"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9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3" w:type="dxa"/>
            <w:tcBorders/>
            <w:shd w:fill="CCEEFF" w:val="clear"/>
            <w:vAlign w:val="center"/>
          </w:tcPr>
          <w:p>
            <w:pPr>
              <w:pStyle w:val="TableContents"/>
              <w:bidi w:val="0"/>
              <w:spacing w:before="0" w:after="0"/>
              <w:ind w:left="0" w:right="0" w:hanging="0"/>
              <w:jc w:val="right"/>
              <w:rPr/>
            </w:pPr>
            <w:r>
              <w:rPr/>
              <w:t>​</w:t>
            </w:r>
          </w:p>
        </w:tc>
      </w:tr>
      <w:tr>
        <w:trPr/>
        <w:tc>
          <w:tcPr>
            <w:tcW w:w="397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9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887,115</w:t>
            </w:r>
          </w:p>
        </w:tc>
        <w:tc>
          <w:tcPr>
            <w:tcW w:w="362"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805,305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1,657,119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1,805,824</w:t>
            </w:r>
          </w:p>
        </w:tc>
      </w:tr>
      <w:tr>
        <w:trPr/>
        <w:tc>
          <w:tcPr>
            <w:tcW w:w="397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14,182</w:t>
            </w:r>
          </w:p>
        </w:tc>
        <w:tc>
          <w:tcPr>
            <w:tcW w:w="362"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26,629</w:t>
            </w:r>
          </w:p>
        </w:tc>
      </w:tr>
      <w:tr>
        <w:trPr/>
        <w:tc>
          <w:tcPr>
            <w:tcW w:w="397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901,297</w:t>
            </w:r>
          </w:p>
        </w:tc>
        <w:tc>
          <w:tcPr>
            <w:tcW w:w="362"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815,749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1,685,483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1,832,453</w:t>
            </w:r>
          </w:p>
        </w:tc>
      </w:tr>
      <w:tr>
        <w:trPr/>
        <w:tc>
          <w:tcPr>
            <w:tcW w:w="397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975" w:type="dxa"/>
            <w:tcBorders/>
            <w:shd w:fill="CCEEFF" w:val="clear"/>
            <w:vAlign w:val="center"/>
          </w:tcPr>
          <w:p>
            <w:pPr>
              <w:pStyle w:val="TableContents"/>
              <w:bidi w:val="0"/>
              <w:spacing w:before="0" w:after="0"/>
              <w:ind w:left="0" w:right="0" w:hanging="0"/>
              <w:jc w:val="right"/>
              <w:rPr/>
            </w:pPr>
            <w:r>
              <w:rPr/>
              <w:t>​</w:t>
            </w:r>
          </w:p>
        </w:tc>
        <w:tc>
          <w:tcPr>
            <w:tcW w:w="362"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3" w:type="dxa"/>
            <w:tcBorders/>
            <w:shd w:fill="CCEEFF" w:val="clear"/>
            <w:vAlign w:val="center"/>
          </w:tcPr>
          <w:p>
            <w:pPr>
              <w:pStyle w:val="TableContents"/>
              <w:bidi w:val="0"/>
              <w:spacing w:before="0" w:after="0"/>
              <w:ind w:left="0" w:right="0" w:hanging="0"/>
              <w:jc w:val="right"/>
              <w:rPr/>
            </w:pPr>
            <w:r>
              <w:rPr/>
              <w:t>​</w:t>
            </w:r>
          </w:p>
        </w:tc>
      </w:tr>
      <w:tr>
        <w:trPr/>
        <w:tc>
          <w:tcPr>
            <w:tcW w:w="397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(881,797)</w:t>
            </w:r>
          </w:p>
        </w:tc>
        <w:tc>
          <w:tcPr>
            <w:tcW w:w="362"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(780,849)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(1,646,116)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(1,741,297)</w:t>
            </w:r>
          </w:p>
        </w:tc>
      </w:tr>
      <w:tr>
        <w:trPr/>
        <w:tc>
          <w:tcPr>
            <w:tcW w:w="397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975" w:type="dxa"/>
            <w:tcBorders/>
            <w:shd w:fill="CCEEFF" w:val="clear"/>
            <w:vAlign w:val="center"/>
          </w:tcPr>
          <w:p>
            <w:pPr>
              <w:pStyle w:val="TableContents"/>
              <w:bidi w:val="0"/>
              <w:spacing w:before="0" w:after="0"/>
              <w:ind w:left="0" w:right="0" w:hanging="0"/>
              <w:jc w:val="right"/>
              <w:rPr/>
            </w:pPr>
            <w:r>
              <w:rPr/>
              <w:t>​</w:t>
            </w:r>
          </w:p>
        </w:tc>
        <w:tc>
          <w:tcPr>
            <w:tcW w:w="362"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3" w:type="dxa"/>
            <w:tcBorders/>
            <w:shd w:fill="CCEEFF" w:val="clear"/>
            <w:vAlign w:val="center"/>
          </w:tcPr>
          <w:p>
            <w:pPr>
              <w:pStyle w:val="TableContents"/>
              <w:bidi w:val="0"/>
              <w:spacing w:before="0" w:after="0"/>
              <w:ind w:left="0" w:right="0" w:hanging="0"/>
              <w:jc w:val="right"/>
              <w:rPr/>
            </w:pPr>
            <w:r>
              <w:rPr/>
              <w:t>​</w:t>
            </w:r>
          </w:p>
        </w:tc>
      </w:tr>
      <w:tr>
        <w:trPr/>
        <w:tc>
          <w:tcPr>
            <w:tcW w:w="397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(EXPENSES)</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975" w:type="dxa"/>
            <w:tcBorders/>
            <w:vAlign w:val="center"/>
          </w:tcPr>
          <w:p>
            <w:pPr>
              <w:pStyle w:val="TableContents"/>
              <w:bidi w:val="0"/>
              <w:spacing w:before="0" w:after="0"/>
              <w:ind w:left="0" w:right="0" w:hanging="0"/>
              <w:jc w:val="right"/>
              <w:rPr/>
            </w:pPr>
            <w:r>
              <w:rPr/>
              <w:t>  ​</w:t>
            </w:r>
          </w:p>
        </w:tc>
        <w:tc>
          <w:tcPr>
            <w:tcW w:w="362"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9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3" w:type="dxa"/>
            <w:tcBorders/>
            <w:vAlign w:val="center"/>
          </w:tcPr>
          <w:p>
            <w:pPr>
              <w:pStyle w:val="TableContents"/>
              <w:bidi w:val="0"/>
              <w:spacing w:before="0" w:after="0"/>
              <w:ind w:left="0" w:right="0" w:hanging="0"/>
              <w:jc w:val="right"/>
              <w:rPr/>
            </w:pPr>
            <w:r>
              <w:rPr/>
              <w:t>​</w:t>
            </w:r>
          </w:p>
        </w:tc>
      </w:tr>
      <w:tr>
        <w:trPr/>
        <w:tc>
          <w:tcPr>
            <w:tcW w:w="397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9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264,695</w:t>
            </w:r>
          </w:p>
        </w:tc>
        <w:tc>
          <w:tcPr>
            <w:tcW w:w="362"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272,228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415,837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480,318</w:t>
            </w:r>
          </w:p>
        </w:tc>
      </w:tr>
      <w:tr>
        <w:trPr/>
        <w:tc>
          <w:tcPr>
            <w:tcW w:w="397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expenses</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9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(6,799)</w:t>
            </w:r>
          </w:p>
        </w:tc>
        <w:tc>
          <w:tcPr>
            <w:tcW w:w="362"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(8,060)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(14,499)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(16,872)</w:t>
            </w:r>
          </w:p>
        </w:tc>
      </w:tr>
      <w:tr>
        <w:trPr/>
        <w:tc>
          <w:tcPr>
            <w:tcW w:w="397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disposal of Edward</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9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(297,610)</w:t>
            </w:r>
          </w:p>
        </w:tc>
        <w:tc>
          <w:tcPr>
            <w:tcW w:w="362"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(297,610)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3" w:type="dxa"/>
            <w:tcBorders/>
            <w:shd w:fill="CCEEFF" w:val="clear"/>
            <w:vAlign w:val="center"/>
          </w:tcPr>
          <w:p>
            <w:pPr>
              <w:pStyle w:val="TableContents"/>
              <w:bidi w:val="0"/>
              <w:spacing w:before="0" w:after="0"/>
              <w:ind w:left="0" w:right="0" w:hanging="0"/>
              <w:jc w:val="right"/>
              <w:rPr/>
            </w:pPr>
            <w:r>
              <w:rPr/>
              <w:t>—</w:t>
            </w:r>
          </w:p>
        </w:tc>
      </w:tr>
      <w:tr>
        <w:trPr/>
        <w:tc>
          <w:tcPr>
            <w:tcW w:w="397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w:t>
            </w:r>
          </w:p>
        </w:tc>
        <w:tc>
          <w:tcPr>
            <w:tcW w:w="346"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993,766</w:t>
            </w:r>
          </w:p>
        </w:tc>
        <w:tc>
          <w:tcPr>
            <w:tcW w:w="362"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17,140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1,002,778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29,756</w:t>
            </w:r>
          </w:p>
        </w:tc>
      </w:tr>
      <w:tr>
        <w:trPr/>
        <w:tc>
          <w:tcPr>
            <w:tcW w:w="397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954,052</w:t>
            </w:r>
          </w:p>
        </w:tc>
        <w:tc>
          <w:tcPr>
            <w:tcW w:w="362"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281,308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1,106,506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493,202</w:t>
            </w:r>
          </w:p>
        </w:tc>
      </w:tr>
      <w:tr>
        <w:trPr/>
        <w:tc>
          <w:tcPr>
            <w:tcW w:w="397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975"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3" w:type="dxa"/>
            <w:tcBorders/>
            <w:vAlign w:val="center"/>
          </w:tcPr>
          <w:p>
            <w:pPr>
              <w:pStyle w:val="TableContents"/>
              <w:bidi w:val="0"/>
              <w:spacing w:before="0" w:after="0"/>
              <w:ind w:left="0" w:right="0" w:hanging="0"/>
              <w:jc w:val="right"/>
              <w:rPr/>
            </w:pPr>
            <w:r>
              <w:rPr/>
              <w:t>​</w:t>
            </w:r>
          </w:p>
        </w:tc>
      </w:tr>
      <w:tr>
        <w:trPr/>
        <w:tc>
          <w:tcPr>
            <w:tcW w:w="397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(LOSS) FROM CONTINUING OPERATIONS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975"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72,255</w:t>
            </w:r>
          </w:p>
        </w:tc>
        <w:tc>
          <w:tcPr>
            <w:tcW w:w="362"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(499,541)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(539,610)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(1,248,095)</w:t>
            </w:r>
          </w:p>
        </w:tc>
      </w:tr>
      <w:tr>
        <w:trPr/>
        <w:tc>
          <w:tcPr>
            <w:tcW w:w="397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975"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3" w:type="dxa"/>
            <w:tcBorders/>
            <w:vAlign w:val="center"/>
          </w:tcPr>
          <w:p>
            <w:pPr>
              <w:pStyle w:val="TableContents"/>
              <w:bidi w:val="0"/>
              <w:spacing w:before="0" w:after="0"/>
              <w:ind w:left="0" w:right="0" w:hanging="0"/>
              <w:jc w:val="right"/>
              <w:rPr/>
            </w:pPr>
            <w:r>
              <w:rPr/>
              <w:t>​</w:t>
            </w:r>
          </w:p>
        </w:tc>
      </w:tr>
      <w:tr>
        <w:trPr/>
        <w:tc>
          <w:tcPr>
            <w:tcW w:w="397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1,210</w:t>
            </w:r>
          </w:p>
        </w:tc>
        <w:tc>
          <w:tcPr>
            <w:tcW w:w="362"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12,987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18,342</w:t>
            </w:r>
          </w:p>
        </w:tc>
      </w:tr>
      <w:tr>
        <w:trPr/>
        <w:tc>
          <w:tcPr>
            <w:tcW w:w="3978"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975"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3" w:type="dxa"/>
            <w:tcBorders/>
            <w:vAlign w:val="center"/>
          </w:tcPr>
          <w:p>
            <w:pPr>
              <w:pStyle w:val="TableContents"/>
              <w:bidi w:val="0"/>
              <w:spacing w:before="0" w:after="0"/>
              <w:ind w:left="0" w:right="0" w:hanging="0"/>
              <w:jc w:val="right"/>
              <w:rPr/>
            </w:pPr>
            <w:r>
              <w:rPr/>
              <w:t>​</w:t>
            </w:r>
          </w:p>
        </w:tc>
      </w:tr>
      <w:tr>
        <w:trPr/>
        <w:tc>
          <w:tcPr>
            <w:tcW w:w="397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(LOSS) FROM CONTINUING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71,045</w:t>
            </w:r>
          </w:p>
        </w:tc>
        <w:tc>
          <w:tcPr>
            <w:tcW w:w="362"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(512,528)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(545,220)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(1,266,437)</w:t>
            </w:r>
          </w:p>
        </w:tc>
      </w:tr>
      <w:tr>
        <w:trPr/>
        <w:tc>
          <w:tcPr>
            <w:tcW w:w="397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975"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3" w:type="dxa"/>
            <w:tcBorders/>
            <w:vAlign w:val="center"/>
          </w:tcPr>
          <w:p>
            <w:pPr>
              <w:pStyle w:val="TableContents"/>
              <w:bidi w:val="0"/>
              <w:spacing w:before="0" w:after="0"/>
              <w:ind w:left="0" w:right="0" w:hanging="0"/>
              <w:jc w:val="right"/>
              <w:rPr/>
            </w:pPr>
            <w:r>
              <w:rPr/>
              <w:t>​</w:t>
            </w:r>
          </w:p>
        </w:tc>
      </w:tr>
      <w:tr>
        <w:trPr/>
        <w:tc>
          <w:tcPr>
            <w:tcW w:w="397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FROM DISCONTINUED OPERATIONS, NET OF TAX</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62"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97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975"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3" w:type="dxa"/>
            <w:tcBorders/>
            <w:vAlign w:val="center"/>
          </w:tcPr>
          <w:p>
            <w:pPr>
              <w:pStyle w:val="TableContents"/>
              <w:bidi w:val="0"/>
              <w:spacing w:before="0" w:after="0"/>
              <w:ind w:left="0" w:right="0" w:hanging="0"/>
              <w:jc w:val="right"/>
              <w:rPr/>
            </w:pPr>
            <w:r>
              <w:rPr/>
              <w:t>​</w:t>
            </w:r>
          </w:p>
        </w:tc>
      </w:tr>
      <w:tr>
        <w:trPr/>
        <w:tc>
          <w:tcPr>
            <w:tcW w:w="397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75"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71,045</w:t>
            </w:r>
          </w:p>
        </w:tc>
        <w:tc>
          <w:tcPr>
            <w:tcW w:w="362"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(512,528)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(545,220)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6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(1,266,437)</w:t>
            </w:r>
          </w:p>
        </w:tc>
      </w:tr>
      <w:tr>
        <w:trPr/>
        <w:tc>
          <w:tcPr>
            <w:tcW w:w="397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975"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3" w:type="dxa"/>
            <w:tcBorders/>
            <w:vAlign w:val="center"/>
          </w:tcPr>
          <w:p>
            <w:pPr>
              <w:pStyle w:val="TableContents"/>
              <w:bidi w:val="0"/>
              <w:spacing w:before="0" w:after="0"/>
              <w:ind w:left="0" w:right="0" w:hanging="0"/>
              <w:jc w:val="right"/>
              <w:rPr/>
            </w:pPr>
            <w:r>
              <w:rPr/>
              <w:t>​</w:t>
            </w:r>
          </w:p>
        </w:tc>
      </w:tr>
      <w:tr>
        <w:trPr/>
        <w:tc>
          <w:tcPr>
            <w:tcW w:w="397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from continuing operations per ordinary share - basic and diluted</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0.037</w:t>
            </w:r>
          </w:p>
        </w:tc>
        <w:tc>
          <w:tcPr>
            <w:tcW w:w="362"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(78.68)</w:t>
            </w:r>
          </w:p>
        </w:tc>
      </w:tr>
      <w:tr>
        <w:trPr/>
        <w:tc>
          <w:tcPr>
            <w:tcW w:w="397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from discontinued operations per ordinary share - basic and diluted</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0.00</w:t>
            </w:r>
          </w:p>
        </w:tc>
        <w:tc>
          <w:tcPr>
            <w:tcW w:w="362"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0.00</w:t>
            </w:r>
          </w:p>
        </w:tc>
      </w:tr>
      <w:tr>
        <w:trPr/>
        <w:tc>
          <w:tcPr>
            <w:tcW w:w="397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(loss) per share - basic and diluted</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0.037</w:t>
            </w:r>
          </w:p>
        </w:tc>
        <w:tc>
          <w:tcPr>
            <w:tcW w:w="362"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(78.68)</w:t>
            </w:r>
          </w:p>
        </w:tc>
      </w:tr>
      <w:tr>
        <w:trPr/>
        <w:tc>
          <w:tcPr>
            <w:tcW w:w="397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 basic and diluted</w:t>
            </w:r>
          </w:p>
        </w:tc>
        <w:tc>
          <w:tcPr>
            <w:tcW w:w="346" w:type="dxa"/>
            <w:tcBorders/>
            <w:vAlign w:val="center"/>
          </w:tcPr>
          <w:p>
            <w:pPr>
              <w:pStyle w:val="TableContents"/>
              <w:bidi w:val="0"/>
              <w:spacing w:before="0" w:after="0"/>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7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1,909,536</w:t>
            </w:r>
          </w:p>
        </w:tc>
        <w:tc>
          <w:tcPr>
            <w:tcW w:w="362" w:type="dxa"/>
            <w:tcBorders/>
            <w:vAlign w:val="center"/>
          </w:tcPr>
          <w:p>
            <w:pPr>
              <w:pStyle w:val="TableContents"/>
              <w:bidi w:val="0"/>
              <w:spacing w:before="0" w:after="0"/>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0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16,096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1,027,682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63"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16,096</w:t>
            </w:r>
          </w:p>
        </w:tc>
      </w:tr>
    </w:tbl>
    <w:p>
      <w:pPr>
        <w:pStyle w:val="TextBody"/>
        <w:bidi w:val="0"/>
        <w:spacing w:before="0" w:after="240"/>
        <w:ind w:left="0" w:right="0" w:hanging="0"/>
        <w:jc w:val="both"/>
        <w:rPr>
          <w:rFonts w:ascii="Times New Roman;Times;serif" w:hAnsi="Times New Roman;Times;serif"/>
          <w:sz w:val="20"/>
        </w:rPr>
      </w:pPr>
      <w:bookmarkStart w:id="282" w:name="_6b58b1b3_68a0_49da_b526_06c09a081f35"/>
      <w:bookmarkEnd w:id="282"/>
      <w:r>
        <w:rPr>
          <w:rFonts w:ascii="Times New Roman;Times;serif" w:hAnsi="Times New Roman;Times;serif"/>
          <w:sz w:val="20"/>
        </w:rPr>
        <w:t>* Certain reclassifications have been made to the financial statements for the period ended June 30, 2025, to conform to the presentation for the period ended June 30, 2026, with no effect on previously reported net income (loss). See Note 6 – Discontinued Operations.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83" w:name="_5d904510_3410_4882_99d7_f3a0a92bd65b"/>
      <w:bookmarkEnd w:id="283"/>
      <w:r>
        <w:rPr>
          <w:rFonts w:ascii="Times New Roman;Times;serif" w:hAnsi="Times New Roman;Times;serif"/>
          <w:b/>
          <w:sz w:val="20"/>
        </w:rPr>
        <w:t>CHEETAH NET SUPPLY CHAIN SERVICE INC.</w:t>
      </w:r>
    </w:p>
    <w:p>
      <w:pPr>
        <w:pStyle w:val="TextBody"/>
        <w:bidi w:val="0"/>
        <w:spacing w:before="0" w:after="0"/>
        <w:ind w:left="0" w:right="0" w:hanging="0"/>
        <w:jc w:val="center"/>
        <w:rPr>
          <w:rFonts w:ascii="Times New Roman;Times;serif" w:hAnsi="Times New Roman;Times;serif"/>
          <w:b/>
          <w:sz w:val="20"/>
        </w:rPr>
      </w:pPr>
      <w:bookmarkStart w:id="284" w:name="STATEMENTSOFCHANGESINSTOCKHOLDERSEQUITY_"/>
      <w:bookmarkEnd w:id="284"/>
      <w:r>
        <w:rPr>
          <w:rFonts w:ascii="Times New Roman;Times;serif" w:hAnsi="Times New Roman;Times;serif"/>
          <w:b/>
          <w:sz w:val="20"/>
        </w:rPr>
        <w:t>CONSOLIDATED STATEMENTS OF CHANGES IN STOCKHOLDERS’ EQUITY</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85" w:name="Tc_0QrJox8gZUeaWsl3IK5Zew_18_21"/>
      <w:bookmarkStart w:id="286" w:name="Tc_dW83Kqnko06eT7Adz5RVKw_18_18"/>
      <w:bookmarkStart w:id="287" w:name="Tc_xgg5lk_19km-KWkv_CEXfg_18_16"/>
      <w:bookmarkStart w:id="288" w:name="Tc_KXYuIsypHEyGzPtxXUnysg_18_15"/>
      <w:bookmarkStart w:id="289" w:name="Tc_hg_1FgDXvUa6ceQwJ-DxYQ_18_12"/>
      <w:bookmarkStart w:id="290" w:name="Tc_jZYYoGXeiU2ARW0L-k6Spg_18_9"/>
      <w:bookmarkStart w:id="291" w:name="Tc_q_C9zzfRoEmrczFJ3VVwog_18_4"/>
      <w:bookmarkStart w:id="292" w:name="Tc_TX4ND1o_ckepLKrgPzkj1w_18_0"/>
      <w:bookmarkStart w:id="293" w:name="Tc_XgCZEA-EVU2k7yZuqUAoAw_16_16"/>
      <w:bookmarkStart w:id="294" w:name="Tc_6YQRBZep2EW0thWRte22-A_16_13"/>
      <w:bookmarkStart w:id="295" w:name="Tc_ilvqAHCN90-U1NCGiJOYlw_16_10"/>
      <w:bookmarkStart w:id="296" w:name="Tc_cKcN7OpupE6Hvb5-k_DqIw_16_7"/>
      <w:bookmarkStart w:id="297" w:name="Tc_ik2_iO0HPUWGqB-pYuEKVg_16_5"/>
      <w:bookmarkStart w:id="298" w:name="Tc_3iumtXGSJkOh_ixOKeMlbA_16_2"/>
      <w:bookmarkStart w:id="299" w:name="Tc_RBbuhhBMQEO2Nc1qI7g9iA_16_0"/>
      <w:bookmarkStart w:id="300" w:name="Tc_JYoKzh2l3UuFY6rf-HZtqg_15_22"/>
      <w:bookmarkStart w:id="301" w:name="Tc_INSgvewodE6b_d7GW0U0dQ_15_19"/>
      <w:bookmarkStart w:id="302" w:name="Tc_BqUZac9ifUW93Zj_FyhcbA_15_16"/>
      <w:bookmarkStart w:id="303" w:name="Tc_56vgefmMYUO9V1ADClcV8A_15_13"/>
      <w:bookmarkStart w:id="304" w:name="Tc_oYfGUqfkd0WVzBO3H4eZlQ_15_10"/>
      <w:bookmarkStart w:id="305" w:name="Tc_4ad0fRF7Ukywf8uW0_Kz6Q_15_7"/>
      <w:bookmarkStart w:id="306" w:name="Tc_zvjOMvGz6UOKgxJtCvBbTw_15_5"/>
      <w:bookmarkStart w:id="307" w:name="Tc_E1wJSZNWgUG1jhU4Luhmjw_15_0"/>
      <w:bookmarkStart w:id="308" w:name="Tc_LiCWSQJ-wUeZxi60tbt_pg_14_19"/>
      <w:bookmarkStart w:id="309" w:name="Tc_WmiiiwLjxkujcxDzTh4NDA_14_16"/>
      <w:bookmarkStart w:id="310" w:name="Tc_5hqNI13-cUGeiKpz1f7cpg_14_5"/>
      <w:bookmarkStart w:id="311" w:name="Tc_ENyA1hquZkKH0R_kE6Y-2w_14_2"/>
      <w:bookmarkStart w:id="312" w:name="Tc_w5gX3jAVtkuTEusxmqrGDw_14_0"/>
      <w:bookmarkStart w:id="313" w:name="Tc_Yr11Jz0860WcnloX_tNivg_13_19"/>
      <w:bookmarkStart w:id="314" w:name="Tc_86Z3T9U8kEG1AM_Y7nZ95g_13_16"/>
      <w:bookmarkStart w:id="315" w:name="Tc_4PzUcFvvQU-4UaIlkBsl5A_13_10"/>
      <w:bookmarkStart w:id="316" w:name="Tc_e4SUoB29rU2E5YRzGQx9Uw_13_7"/>
      <w:bookmarkStart w:id="317" w:name="Tc_OJSzwFPmWEmPTKAh-QBO2g_13_0"/>
      <w:bookmarkStart w:id="318" w:name="Tc_P51XZDpwl0OOfrRlcgzYGA_12_19"/>
      <w:bookmarkStart w:id="319" w:name="Tc_7AHcGaOxKkCctPhm1_WVaA_12_16"/>
      <w:bookmarkStart w:id="320" w:name="Tc_UOP2Gcmp7UGZP9xTdmEvew_12_10"/>
      <w:bookmarkStart w:id="321" w:name="Tc_-2SDqwwsCUWb_XwFICxzNQ_12_7"/>
      <w:bookmarkStart w:id="322" w:name="Tc_MCvJZVOih06ozlQnZ14u4Q_12_5"/>
      <w:bookmarkStart w:id="323" w:name="Tc_X3Hu2vAOYUO6Uo8O3aysYg_12_2"/>
      <w:bookmarkStart w:id="324" w:name="Tc_5-ZGWIvF10eWwdJ3CDVieg_12_0"/>
      <w:bookmarkStart w:id="325" w:name="Tc_AurTC8QaK0Khwud8ErtUcQ_10_21"/>
      <w:bookmarkStart w:id="326" w:name="Tc_VPQZst7_UkyKrem-xpYV6g_10_18"/>
      <w:bookmarkStart w:id="327" w:name="Tc_U2f5qNOaWEuzcMTPfzicaw_10_16"/>
      <w:bookmarkStart w:id="328" w:name="Tc_I6fi4TD_E0yUrDM-75hssA_10_15"/>
      <w:bookmarkStart w:id="329" w:name="Tc_GwbDmDES5E2Y52nRgCLMiQ_10_12"/>
      <w:bookmarkStart w:id="330" w:name="Tc_aShzZcu12UmWSx-CPPXaYA_10_10"/>
      <w:bookmarkStart w:id="331" w:name="Tc_1ERkhl1BdU2bCmZrq5R5_g_10_9"/>
      <w:bookmarkStart w:id="332" w:name="Tc_LF1s_MI0ikS9tIRuiX0SiQ_10_4"/>
      <w:bookmarkStart w:id="333" w:name="Tc_11AJIyPYEkqQUr1i0Ir8gw_10_0"/>
      <w:bookmarkStart w:id="334" w:name="Tc_ky6Himp8UE-lVFiGhGDGRA_9_16"/>
      <w:bookmarkStart w:id="335" w:name="Tc_cn8vfWT5MkyHpeUVY0_wsw_9_13"/>
      <w:bookmarkStart w:id="336" w:name="Tc_9og8S4EkuE6SLKcowS69Nw_9_10"/>
      <w:bookmarkStart w:id="337" w:name="Tc_Kf8uoPX_Ak6bQBe6OoqADA_9_7"/>
      <w:bookmarkStart w:id="338" w:name="Tc_55x0OVzJUEmzjcerN3kEjg_9_5"/>
      <w:bookmarkStart w:id="339" w:name="Tc_vr446ZU73E6Ace6vOFrw1g_9_2"/>
      <w:bookmarkStart w:id="340" w:name="Tc_BqdvJB9r2Uacc0lYVDkjow_9_0"/>
      <w:bookmarkStart w:id="341" w:name="Tc_8wTEyvHgQUuUnYd5KoZEtg_8_19"/>
      <w:bookmarkStart w:id="342" w:name="Tc_mxe4qZGMQkicHckcWMn1Ew_8_16"/>
      <w:bookmarkStart w:id="343" w:name="Tc_oS0M9FruxkadWGOOxvs2_A_8_10"/>
      <w:bookmarkStart w:id="344" w:name="Tc_OrS406-vB0-spKoyvRWoXQ_8_7"/>
      <w:bookmarkStart w:id="345" w:name="Tc_yaeY0_yDOEemFvdsmtbE7g_8_0"/>
      <w:bookmarkStart w:id="346" w:name="Tc_LkP4ub5tsEuFbZ4hh4ETLA_7_19"/>
      <w:bookmarkStart w:id="347" w:name="Tc_4BkU9Re1-kiGi_JnalFuHQ_7_16"/>
      <w:bookmarkStart w:id="348" w:name="Tc_Rf2NYGEWHEqiZPuDwl_aDg_7_10"/>
      <w:bookmarkStart w:id="349" w:name="Tc_waZc0PmufEe-AV-h5G5BdA_7_7"/>
      <w:bookmarkStart w:id="350" w:name="Tc_OstjhNk5WUK43WKRkzMOMQ_7_5"/>
      <w:bookmarkStart w:id="351" w:name="Tc_bh-3rAlwfUi3uGMU9t0xTg_7_2"/>
      <w:bookmarkStart w:id="352" w:name="Tc__eWCEbmd8U2wytquy4w02w_7_0"/>
      <w:bookmarkStart w:id="353" w:name="Tc_t-6eRCMNaECo_-s8LZPDbg_5_21"/>
      <w:bookmarkStart w:id="354" w:name="Tc_4FbpaWaCwk2jcCizwhE6Uw_5_18"/>
      <w:bookmarkStart w:id="355" w:name="Tc__dzRfF1ze0yFVCiMFyPaPg_5_16"/>
      <w:bookmarkStart w:id="356" w:name="Tc_1Hga4m0Qf0yLikjuyf9yqQ_5_15"/>
      <w:bookmarkStart w:id="357" w:name="Tc_bLf9tTgRiUmwJSRFroISeg_5_12"/>
      <w:bookmarkStart w:id="358" w:name="Tc_dfNQXCFa8Ea_wAD_XFkQFA_5_10"/>
      <w:bookmarkStart w:id="359" w:name="Tc_mlqrluX4-kuTF_iewV5mng_5_9"/>
      <w:bookmarkStart w:id="360" w:name="Tc_q5iREsXnSEuUMPijrh1q5A_5_4"/>
      <w:bookmarkStart w:id="361" w:name="Tc_xMEnT_vm10yjolRYQmwCrQ_5_0"/>
      <w:bookmarkStart w:id="362" w:name="Tc_ShVdOyUVnU-nCZ5mR_flDQ_4_21"/>
      <w:bookmarkStart w:id="363" w:name="Tc_jlaCHY8JnkKHju6XjWKXCg_4_18"/>
      <w:bookmarkStart w:id="364" w:name="Tc_0VtA17ig8EyIHjP7mPsEig_4_15"/>
      <w:bookmarkStart w:id="365" w:name="Tc_zjn2tpvsa0eGD_boRDkBVQ_4_12"/>
      <w:bookmarkStart w:id="366" w:name="Tc_IdX1eI7ntk25tDumYTFM6Q_4_9"/>
      <w:bookmarkStart w:id="367" w:name="Tc_jgqvubhSLE2SZ99A1QDMuw_4_7"/>
      <w:bookmarkStart w:id="368" w:name="Tc_0Q7f-3OVyk65PdG2zq7FEw_4_4"/>
      <w:bookmarkStart w:id="369" w:name="Tc_rCVlgxdZ60mSRR9shwuFQg_4_2"/>
      <w:bookmarkStart w:id="370" w:name="Tc_qrvh4cHaNUCPqGBudCd4Ig_3_21"/>
      <w:bookmarkStart w:id="371" w:name="Tc_a8vC6SEMY0257waRpWLhAg_3_18"/>
      <w:bookmarkStart w:id="372" w:name="Tc_2D5WJQsMeEyKrFY_4H1dDA_3_15"/>
      <w:bookmarkStart w:id="373" w:name="Tc_NbhYc1OMXEKywyz8wMUn7g_3_12"/>
      <w:bookmarkStart w:id="374" w:name="Tc_jbFz9GUxVEayIsWoGEoNRg_3_7"/>
      <w:bookmarkStart w:id="375" w:name="Tc_-t00XMtqY0m6uyMBIupEOQ_3_2"/>
      <w:bookmarkStart w:id="376" w:name="Tc_JPbz6MgtYE-KKZ7-s7Z2UA_2_21"/>
      <w:bookmarkStart w:id="377" w:name="Tc__5aV1i8uMU6l_iKfHKez0w_2_12"/>
      <w:bookmarkStart w:id="378" w:name="Tc_fQ0j1WKyMkGR5p7C7-OE2A_2_7"/>
      <w:bookmarkStart w:id="379" w:name="Tc__1_s7tU_PkCk3yWfICGUzw_2_2"/>
      <w:bookmarkStart w:id="380" w:name="Tc_lCAzCvZ9EE-jHw_y69-XEw_1_2"/>
      <w:bookmarkStart w:id="381" w:name="_3e32f84f_06e1_4c5b_b037_c9b129746806"/>
      <w:bookmarkStart w:id="382" w:name="Tc_0QrJox8gZUeaWsl3IK5Zew_18_21"/>
      <w:bookmarkStart w:id="383" w:name="Tc_dW83Kqnko06eT7Adz5RVKw_18_18"/>
      <w:bookmarkStart w:id="384" w:name="Tc_xgg5lk_19km-KWkv_CEXfg_18_16"/>
      <w:bookmarkStart w:id="385" w:name="Tc_KXYuIsypHEyGzPtxXUnysg_18_15"/>
      <w:bookmarkStart w:id="386" w:name="Tc_hg_1FgDXvUa6ceQwJ-DxYQ_18_12"/>
      <w:bookmarkStart w:id="387" w:name="Tc_jZYYoGXeiU2ARW0L-k6Spg_18_9"/>
      <w:bookmarkStart w:id="388" w:name="Tc_q_C9zzfRoEmrczFJ3VVwog_18_4"/>
      <w:bookmarkStart w:id="389" w:name="Tc_TX4ND1o_ckepLKrgPzkj1w_18_0"/>
      <w:bookmarkStart w:id="390" w:name="Tc_XgCZEA-EVU2k7yZuqUAoAw_16_16"/>
      <w:bookmarkStart w:id="391" w:name="Tc_6YQRBZep2EW0thWRte22-A_16_13"/>
      <w:bookmarkStart w:id="392" w:name="Tc_ilvqAHCN90-U1NCGiJOYlw_16_10"/>
      <w:bookmarkStart w:id="393" w:name="Tc_cKcN7OpupE6Hvb5-k_DqIw_16_7"/>
      <w:bookmarkStart w:id="394" w:name="Tc_ik2_iO0HPUWGqB-pYuEKVg_16_5"/>
      <w:bookmarkStart w:id="395" w:name="Tc_3iumtXGSJkOh_ixOKeMlbA_16_2"/>
      <w:bookmarkStart w:id="396" w:name="Tc_RBbuhhBMQEO2Nc1qI7g9iA_16_0"/>
      <w:bookmarkStart w:id="397" w:name="Tc_JYoKzh2l3UuFY6rf-HZtqg_15_22"/>
      <w:bookmarkStart w:id="398" w:name="Tc_INSgvewodE6b_d7GW0U0dQ_15_19"/>
      <w:bookmarkStart w:id="399" w:name="Tc_BqUZac9ifUW93Zj_FyhcbA_15_16"/>
      <w:bookmarkStart w:id="400" w:name="Tc_56vgefmMYUO9V1ADClcV8A_15_13"/>
      <w:bookmarkStart w:id="401" w:name="Tc_oYfGUqfkd0WVzBO3H4eZlQ_15_10"/>
      <w:bookmarkStart w:id="402" w:name="Tc_4ad0fRF7Ukywf8uW0_Kz6Q_15_7"/>
      <w:bookmarkStart w:id="403" w:name="Tc_zvjOMvGz6UOKgxJtCvBbTw_15_5"/>
      <w:bookmarkStart w:id="404" w:name="Tc_E1wJSZNWgUG1jhU4Luhmjw_15_0"/>
      <w:bookmarkStart w:id="405" w:name="Tc_LiCWSQJ-wUeZxi60tbt_pg_14_19"/>
      <w:bookmarkStart w:id="406" w:name="Tc_WmiiiwLjxkujcxDzTh4NDA_14_16"/>
      <w:bookmarkStart w:id="407" w:name="Tc_5hqNI13-cUGeiKpz1f7cpg_14_5"/>
      <w:bookmarkStart w:id="408" w:name="Tc_ENyA1hquZkKH0R_kE6Y-2w_14_2"/>
      <w:bookmarkStart w:id="409" w:name="Tc_w5gX3jAVtkuTEusxmqrGDw_14_0"/>
      <w:bookmarkStart w:id="410" w:name="Tc_Yr11Jz0860WcnloX_tNivg_13_19"/>
      <w:bookmarkStart w:id="411" w:name="Tc_86Z3T9U8kEG1AM_Y7nZ95g_13_16"/>
      <w:bookmarkStart w:id="412" w:name="Tc_4PzUcFvvQU-4UaIlkBsl5A_13_10"/>
      <w:bookmarkStart w:id="413" w:name="Tc_e4SUoB29rU2E5YRzGQx9Uw_13_7"/>
      <w:bookmarkStart w:id="414" w:name="Tc_OJSzwFPmWEmPTKAh-QBO2g_13_0"/>
      <w:bookmarkStart w:id="415" w:name="Tc_P51XZDpwl0OOfrRlcgzYGA_12_19"/>
      <w:bookmarkStart w:id="416" w:name="Tc_7AHcGaOxKkCctPhm1_WVaA_12_16"/>
      <w:bookmarkStart w:id="417" w:name="Tc_UOP2Gcmp7UGZP9xTdmEvew_12_10"/>
      <w:bookmarkStart w:id="418" w:name="Tc_-2SDqwwsCUWb_XwFICxzNQ_12_7"/>
      <w:bookmarkStart w:id="419" w:name="Tc_MCvJZVOih06ozlQnZ14u4Q_12_5"/>
      <w:bookmarkStart w:id="420" w:name="Tc_X3Hu2vAOYUO6Uo8O3aysYg_12_2"/>
      <w:bookmarkStart w:id="421" w:name="Tc_5-ZGWIvF10eWwdJ3CDVieg_12_0"/>
      <w:bookmarkStart w:id="422" w:name="Tc_AurTC8QaK0Khwud8ErtUcQ_10_21"/>
      <w:bookmarkStart w:id="423" w:name="Tc_VPQZst7_UkyKrem-xpYV6g_10_18"/>
      <w:bookmarkStart w:id="424" w:name="Tc_U2f5qNOaWEuzcMTPfzicaw_10_16"/>
      <w:bookmarkStart w:id="425" w:name="Tc_I6fi4TD_E0yUrDM-75hssA_10_15"/>
      <w:bookmarkStart w:id="426" w:name="Tc_GwbDmDES5E2Y52nRgCLMiQ_10_12"/>
      <w:bookmarkStart w:id="427" w:name="Tc_aShzZcu12UmWSx-CPPXaYA_10_10"/>
      <w:bookmarkStart w:id="428" w:name="Tc_1ERkhl1BdU2bCmZrq5R5_g_10_9"/>
      <w:bookmarkStart w:id="429" w:name="Tc_LF1s_MI0ikS9tIRuiX0SiQ_10_4"/>
      <w:bookmarkStart w:id="430" w:name="Tc_11AJIyPYEkqQUr1i0Ir8gw_10_0"/>
      <w:bookmarkStart w:id="431" w:name="Tc_ky6Himp8UE-lVFiGhGDGRA_9_16"/>
      <w:bookmarkStart w:id="432" w:name="Tc_cn8vfWT5MkyHpeUVY0_wsw_9_13"/>
      <w:bookmarkStart w:id="433" w:name="Tc_9og8S4EkuE6SLKcowS69Nw_9_10"/>
      <w:bookmarkStart w:id="434" w:name="Tc_Kf8uoPX_Ak6bQBe6OoqADA_9_7"/>
      <w:bookmarkStart w:id="435" w:name="Tc_55x0OVzJUEmzjcerN3kEjg_9_5"/>
      <w:bookmarkStart w:id="436" w:name="Tc_vr446ZU73E6Ace6vOFrw1g_9_2"/>
      <w:bookmarkStart w:id="437" w:name="Tc_BqdvJB9r2Uacc0lYVDkjow_9_0"/>
      <w:bookmarkStart w:id="438" w:name="Tc_8wTEyvHgQUuUnYd5KoZEtg_8_19"/>
      <w:bookmarkStart w:id="439" w:name="Tc_mxe4qZGMQkicHckcWMn1Ew_8_16"/>
      <w:bookmarkStart w:id="440" w:name="Tc_oS0M9FruxkadWGOOxvs2_A_8_10"/>
      <w:bookmarkStart w:id="441" w:name="Tc_OrS406-vB0-spKoyvRWoXQ_8_7"/>
      <w:bookmarkStart w:id="442" w:name="Tc_yaeY0_yDOEemFvdsmtbE7g_8_0"/>
      <w:bookmarkStart w:id="443" w:name="Tc_LkP4ub5tsEuFbZ4hh4ETLA_7_19"/>
      <w:bookmarkStart w:id="444" w:name="Tc_4BkU9Re1-kiGi_JnalFuHQ_7_16"/>
      <w:bookmarkStart w:id="445" w:name="Tc_Rf2NYGEWHEqiZPuDwl_aDg_7_10"/>
      <w:bookmarkStart w:id="446" w:name="Tc_waZc0PmufEe-AV-h5G5BdA_7_7"/>
      <w:bookmarkStart w:id="447" w:name="Tc_OstjhNk5WUK43WKRkzMOMQ_7_5"/>
      <w:bookmarkStart w:id="448" w:name="Tc_bh-3rAlwfUi3uGMU9t0xTg_7_2"/>
      <w:bookmarkStart w:id="449" w:name="Tc__eWCEbmd8U2wytquy4w02w_7_0"/>
      <w:bookmarkStart w:id="450" w:name="Tc_t-6eRCMNaECo_-s8LZPDbg_5_21"/>
      <w:bookmarkStart w:id="451" w:name="Tc_4FbpaWaCwk2jcCizwhE6Uw_5_18"/>
      <w:bookmarkStart w:id="452" w:name="Tc__dzRfF1ze0yFVCiMFyPaPg_5_16"/>
      <w:bookmarkStart w:id="453" w:name="Tc_1Hga4m0Qf0yLikjuyf9yqQ_5_15"/>
      <w:bookmarkStart w:id="454" w:name="Tc_bLf9tTgRiUmwJSRFroISeg_5_12"/>
      <w:bookmarkStart w:id="455" w:name="Tc_dfNQXCFa8Ea_wAD_XFkQFA_5_10"/>
      <w:bookmarkStart w:id="456" w:name="Tc_mlqrluX4-kuTF_iewV5mng_5_9"/>
      <w:bookmarkStart w:id="457" w:name="Tc_q5iREsXnSEuUMPijrh1q5A_5_4"/>
      <w:bookmarkStart w:id="458" w:name="Tc_xMEnT_vm10yjolRYQmwCrQ_5_0"/>
      <w:bookmarkStart w:id="459" w:name="Tc_ShVdOyUVnU-nCZ5mR_flDQ_4_21"/>
      <w:bookmarkStart w:id="460" w:name="Tc_jlaCHY8JnkKHju6XjWKXCg_4_18"/>
      <w:bookmarkStart w:id="461" w:name="Tc_0VtA17ig8EyIHjP7mPsEig_4_15"/>
      <w:bookmarkStart w:id="462" w:name="Tc_zjn2tpvsa0eGD_boRDkBVQ_4_12"/>
      <w:bookmarkStart w:id="463" w:name="Tc_IdX1eI7ntk25tDumYTFM6Q_4_9"/>
      <w:bookmarkStart w:id="464" w:name="Tc_jgqvubhSLE2SZ99A1QDMuw_4_7"/>
      <w:bookmarkStart w:id="465" w:name="Tc_0Q7f-3OVyk65PdG2zq7FEw_4_4"/>
      <w:bookmarkStart w:id="466" w:name="Tc_rCVlgxdZ60mSRR9shwuFQg_4_2"/>
      <w:bookmarkStart w:id="467" w:name="Tc_qrvh4cHaNUCPqGBudCd4Ig_3_21"/>
      <w:bookmarkStart w:id="468" w:name="Tc_a8vC6SEMY0257waRpWLhAg_3_18"/>
      <w:bookmarkStart w:id="469" w:name="Tc_2D5WJQsMeEyKrFY_4H1dDA_3_15"/>
      <w:bookmarkStart w:id="470" w:name="Tc_NbhYc1OMXEKywyz8wMUn7g_3_12"/>
      <w:bookmarkStart w:id="471" w:name="Tc_jbFz9GUxVEayIsWoGEoNRg_3_7"/>
      <w:bookmarkStart w:id="472" w:name="Tc_-t00XMtqY0m6uyMBIupEOQ_3_2"/>
      <w:bookmarkStart w:id="473" w:name="Tc_JPbz6MgtYE-KKZ7-s7Z2UA_2_21"/>
      <w:bookmarkStart w:id="474" w:name="Tc__5aV1i8uMU6l_iKfHKez0w_2_12"/>
      <w:bookmarkStart w:id="475" w:name="Tc_fQ0j1WKyMkGR5p7C7-OE2A_2_7"/>
      <w:bookmarkStart w:id="476" w:name="Tc__1_s7tU_PkCk3yWfICGUzw_2_2"/>
      <w:bookmarkStart w:id="477" w:name="Tc_lCAzCvZ9EE-jHw_y69-XEw_1_2"/>
      <w:bookmarkStart w:id="478" w:name="_3e32f84f_06e1_4c5b_b037_c9b129746806"/>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p>
    <w:tbl>
      <w:tblPr>
        <w:tblW w:w="10370" w:type="dxa"/>
        <w:jc w:val="left"/>
        <w:tblInd w:w="0" w:type="dxa"/>
        <w:tblLayout w:type="fixed"/>
        <w:tblCellMar>
          <w:top w:w="0" w:type="dxa"/>
          <w:left w:w="0" w:type="dxa"/>
          <w:bottom w:w="0" w:type="dxa"/>
          <w:right w:w="0" w:type="dxa"/>
        </w:tblCellMar>
      </w:tblPr>
      <w:tblGrid>
        <w:gridCol w:w="946"/>
        <w:gridCol w:w="346"/>
        <w:gridCol w:w="721"/>
        <w:gridCol w:w="346"/>
        <w:gridCol w:w="216"/>
        <w:gridCol w:w="415"/>
        <w:gridCol w:w="346"/>
        <w:gridCol w:w="691"/>
        <w:gridCol w:w="346"/>
        <w:gridCol w:w="216"/>
        <w:gridCol w:w="415"/>
        <w:gridCol w:w="346"/>
        <w:gridCol w:w="226"/>
        <w:gridCol w:w="796"/>
        <w:gridCol w:w="346"/>
        <w:gridCol w:w="324"/>
        <w:gridCol w:w="622"/>
        <w:gridCol w:w="346"/>
        <w:gridCol w:w="181"/>
        <w:gridCol w:w="766"/>
        <w:gridCol w:w="346"/>
        <w:gridCol w:w="181"/>
        <w:gridCol w:w="886"/>
      </w:tblGrid>
      <w:tr>
        <w:trPr/>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00710" cy="175260"/>
                      <wp:effectExtent l="0" t="0" r="0" b="0"/>
                      <wp:wrapNone/>
                      <wp:docPr id="28" name="Frame28"/>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9710" cy="175260"/>
                      <wp:effectExtent l="0" t="0" r="0" b="0"/>
                      <wp:wrapNone/>
                      <wp:docPr id="29" name="Frame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457835" cy="175260"/>
                      <wp:effectExtent l="0" t="0" r="0" b="0"/>
                      <wp:wrapNone/>
                      <wp:docPr id="30" name="Frame30"/>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9710" cy="175260"/>
                      <wp:effectExtent l="0" t="0" r="0" b="0"/>
                      <wp:wrapNone/>
                      <wp:docPr id="31"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37160" cy="175260"/>
                      <wp:effectExtent l="0" t="0" r="0" b="0"/>
                      <wp:wrapNone/>
                      <wp:docPr id="32" name="Frame32"/>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63525" cy="175260"/>
                      <wp:effectExtent l="0" t="0" r="0" b="0"/>
                      <wp:wrapNone/>
                      <wp:docPr id="33" name="Frame33"/>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9710" cy="175260"/>
                      <wp:effectExtent l="0" t="0" r="0" b="0"/>
                      <wp:wrapNone/>
                      <wp:docPr id="34"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438785" cy="175260"/>
                      <wp:effectExtent l="0" t="0" r="0" b="0"/>
                      <wp:wrapNone/>
                      <wp:docPr id="35" name="Frame3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9710" cy="175260"/>
                      <wp:effectExtent l="0" t="0" r="0" b="0"/>
                      <wp:wrapNone/>
                      <wp:docPr id="36" name="Frame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37160" cy="175260"/>
                      <wp:effectExtent l="0" t="0" r="0" b="0"/>
                      <wp:wrapNone/>
                      <wp:docPr id="37" name="Frame37"/>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63525" cy="175260"/>
                      <wp:effectExtent l="0" t="0" r="0" b="0"/>
                      <wp:wrapNone/>
                      <wp:docPr id="38" name="Frame38"/>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19710" cy="175260"/>
                      <wp:effectExtent l="0" t="0" r="0" b="0"/>
                      <wp:wrapNone/>
                      <wp:docPr id="39" name="Frame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43510" cy="175260"/>
                      <wp:effectExtent l="0" t="0" r="0" b="0"/>
                      <wp:wrapNone/>
                      <wp:docPr id="40" name="Frame4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505460" cy="175260"/>
                      <wp:effectExtent l="0" t="0" r="0" b="0"/>
                      <wp:wrapNone/>
                      <wp:docPr id="41" name="Frame4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9710" cy="175260"/>
                      <wp:effectExtent l="0" t="0" r="0" b="0"/>
                      <wp:wrapNone/>
                      <wp:docPr id="42" name="Frame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5740" cy="175260"/>
                      <wp:effectExtent l="0" t="0" r="0" b="0"/>
                      <wp:wrapNone/>
                      <wp:docPr id="43" name="Frame43"/>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394970" cy="175260"/>
                      <wp:effectExtent l="0" t="0" r="0" b="0"/>
                      <wp:wrapNone/>
                      <wp:docPr id="44" name="Frame44"/>
                      <a:graphic xmlns:a="http://schemas.openxmlformats.org/drawingml/2006/main">
                        <a:graphicData uri="http://schemas.microsoft.com/office/word/2010/wordprocessingShape">
                          <wps:wsp>
                            <wps:cNvSpPr txBox="1"/>
                            <wps:spPr>
                              <a:xfrm>
                                <a:off x="0" y="0"/>
                                <a:ext cx="394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45" name="Frame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14935" cy="175260"/>
                      <wp:effectExtent l="0" t="0" r="0" b="0"/>
                      <wp:wrapNone/>
                      <wp:docPr id="46" name="Frame4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486410" cy="175260"/>
                      <wp:effectExtent l="0" t="0" r="0" b="0"/>
                      <wp:wrapNone/>
                      <wp:docPr id="47" name="Frame47"/>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9710" cy="175260"/>
                      <wp:effectExtent l="0" t="0" r="0" b="0"/>
                      <wp:wrapNone/>
                      <wp:docPr id="48" name="Frame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14935" cy="175260"/>
                      <wp:effectExtent l="0" t="0" r="0" b="0"/>
                      <wp:wrapNone/>
                      <wp:docPr id="49" name="Frame4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562610" cy="175260"/>
                      <wp:effectExtent l="0" t="0" r="0" b="0"/>
                      <wp:wrapNone/>
                      <wp:docPr id="50" name="Frame5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9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712"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Common Stock*</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24" w:type="dxa"/>
            <w:tcBorders/>
            <w:vAlign w:val="center"/>
          </w:tcPr>
          <w:p>
            <w:pPr>
              <w:pStyle w:val="TableContents"/>
              <w:bidi w:val="0"/>
              <w:spacing w:before="0" w:after="1"/>
              <w:ind w:left="0" w:right="0" w:hanging="0"/>
              <w:jc w:val="left"/>
              <w:rPr/>
            </w:pPr>
            <w:r>
              <w:rPr/>
              <w:t>​</w:t>
            </w:r>
          </w:p>
        </w:tc>
        <w:tc>
          <w:tcPr>
            <w:tcW w:w="62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r>
      <w:tr>
        <w:trPr/>
        <w:tc>
          <w:tcPr>
            <w:tcW w:w="9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Class A</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Class B</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Additional</w:t>
            </w:r>
          </w:p>
        </w:tc>
        <w:tc>
          <w:tcPr>
            <w:tcW w:w="346" w:type="dxa"/>
            <w:tcBorders/>
            <w:vAlign w:val="center"/>
          </w:tcPr>
          <w:p>
            <w:pPr>
              <w:pStyle w:val="TableContents"/>
              <w:bidi w:val="0"/>
              <w:spacing w:before="0" w:after="1"/>
              <w:ind w:left="0" w:right="0" w:hanging="0"/>
              <w:jc w:val="left"/>
              <w:rPr/>
            </w:pPr>
            <w:r>
              <w:rPr/>
              <w:t>​</w:t>
            </w:r>
          </w:p>
        </w:tc>
        <w:tc>
          <w:tcPr>
            <w:tcW w:w="324" w:type="dxa"/>
            <w:tcBorders/>
            <w:vAlign w:val="center"/>
          </w:tcPr>
          <w:p>
            <w:pPr>
              <w:pStyle w:val="TableContents"/>
              <w:bidi w:val="0"/>
              <w:spacing w:before="0" w:after="1"/>
              <w:ind w:left="0" w:right="0" w:hanging="0"/>
              <w:jc w:val="left"/>
              <w:rPr/>
            </w:pPr>
            <w:r>
              <w:rPr/>
              <w:t>​</w:t>
            </w:r>
          </w:p>
        </w:tc>
        <w:tc>
          <w:tcPr>
            <w:tcW w:w="62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47"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067"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Total</w:t>
            </w:r>
          </w:p>
        </w:tc>
      </w:tr>
      <w:tr>
        <w:trPr/>
        <w:tc>
          <w:tcPr>
            <w:tcW w:w="9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Common</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Common</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paid-in</w:t>
            </w:r>
          </w:p>
        </w:tc>
        <w:tc>
          <w:tcPr>
            <w:tcW w:w="346" w:type="dxa"/>
            <w:tcBorders/>
            <w:vAlign w:val="center"/>
          </w:tcPr>
          <w:p>
            <w:pPr>
              <w:pStyle w:val="TableContents"/>
              <w:bidi w:val="0"/>
              <w:spacing w:before="0" w:after="1"/>
              <w:ind w:left="0" w:right="0" w:hanging="0"/>
              <w:jc w:val="left"/>
              <w:rPr/>
            </w:pPr>
            <w:r>
              <w:rPr/>
              <w:t>​</w:t>
            </w:r>
          </w:p>
        </w:tc>
        <w:tc>
          <w:tcPr>
            <w:tcW w:w="946"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Subscription</w:t>
            </w:r>
          </w:p>
        </w:tc>
        <w:tc>
          <w:tcPr>
            <w:tcW w:w="346" w:type="dxa"/>
            <w:tcBorders/>
            <w:vAlign w:val="center"/>
          </w:tcPr>
          <w:p>
            <w:pPr>
              <w:pStyle w:val="TableContents"/>
              <w:bidi w:val="0"/>
              <w:spacing w:before="0" w:after="1"/>
              <w:ind w:left="0" w:right="0" w:hanging="0"/>
              <w:jc w:val="left"/>
              <w:rPr/>
            </w:pPr>
            <w:r>
              <w:rPr/>
              <w:t>​</w:t>
            </w:r>
          </w:p>
        </w:tc>
        <w:tc>
          <w:tcPr>
            <w:tcW w:w="947"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Accumulated</w:t>
            </w:r>
          </w:p>
        </w:tc>
        <w:tc>
          <w:tcPr>
            <w:tcW w:w="346" w:type="dxa"/>
            <w:tcBorders/>
            <w:vAlign w:val="center"/>
          </w:tcPr>
          <w:p>
            <w:pPr>
              <w:pStyle w:val="TableContents"/>
              <w:bidi w:val="0"/>
              <w:spacing w:before="0" w:after="1"/>
              <w:ind w:left="0" w:right="0" w:hanging="0"/>
              <w:jc w:val="left"/>
              <w:rPr/>
            </w:pPr>
            <w:r>
              <w:rPr/>
              <w:t>​</w:t>
            </w:r>
          </w:p>
        </w:tc>
        <w:tc>
          <w:tcPr>
            <w:tcW w:w="1067"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Stockholders’</w:t>
            </w:r>
          </w:p>
        </w:tc>
      </w:tr>
      <w:tr>
        <w:trPr/>
        <w:tc>
          <w:tcPr>
            <w:tcW w:w="9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stock</w:t>
            </w:r>
          </w:p>
        </w:tc>
        <w:tc>
          <w:tcPr>
            <w:tcW w:w="346" w:type="dxa"/>
            <w:tcBorders/>
            <w:vAlign w:val="center"/>
          </w:tcPr>
          <w:p>
            <w:pPr>
              <w:pStyle w:val="TableContents"/>
              <w:bidi w:val="0"/>
              <w:spacing w:before="0" w:after="1"/>
              <w:ind w:left="0" w:right="0" w:hanging="0"/>
              <w:jc w:val="left"/>
              <w:rPr/>
            </w:pPr>
            <w:r>
              <w:rPr/>
              <w:t>  ​ ​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Amount</w:t>
            </w:r>
          </w:p>
        </w:tc>
        <w:tc>
          <w:tcPr>
            <w:tcW w:w="346" w:type="dxa"/>
            <w:tcBorders/>
            <w:vAlign w:val="center"/>
          </w:tcPr>
          <w:p>
            <w:pPr>
              <w:pStyle w:val="TableContents"/>
              <w:bidi w:val="0"/>
              <w:spacing w:before="0" w:after="1"/>
              <w:ind w:left="0" w:right="0" w:hanging="0"/>
              <w:jc w:val="left"/>
              <w:rPr/>
            </w:pPr>
            <w:r>
              <w:rPr/>
              <w:t>  ​ ​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stock</w:t>
            </w:r>
          </w:p>
        </w:tc>
        <w:tc>
          <w:tcPr>
            <w:tcW w:w="346" w:type="dxa"/>
            <w:tcBorders/>
            <w:vAlign w:val="center"/>
          </w:tcPr>
          <w:p>
            <w:pPr>
              <w:pStyle w:val="TableContents"/>
              <w:bidi w:val="0"/>
              <w:spacing w:before="0" w:after="1"/>
              <w:ind w:left="0" w:right="0" w:hanging="0"/>
              <w:jc w:val="left"/>
              <w:rPr/>
            </w:pPr>
            <w:r>
              <w:rPr/>
              <w:t>  ​ ​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Amount</w:t>
            </w:r>
          </w:p>
        </w:tc>
        <w:tc>
          <w:tcPr>
            <w:tcW w:w="346" w:type="dxa"/>
            <w:tcBorders/>
            <w:vAlign w:val="center"/>
          </w:tcPr>
          <w:p>
            <w:pPr>
              <w:pStyle w:val="TableContents"/>
              <w:bidi w:val="0"/>
              <w:spacing w:before="0" w:after="1"/>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capital</w:t>
            </w:r>
          </w:p>
        </w:tc>
        <w:tc>
          <w:tcPr>
            <w:tcW w:w="346" w:type="dxa"/>
            <w:tcBorders/>
            <w:vAlign w:val="center"/>
          </w:tcPr>
          <w:p>
            <w:pPr>
              <w:pStyle w:val="TableContents"/>
              <w:bidi w:val="0"/>
              <w:spacing w:before="0" w:after="1"/>
              <w:ind w:left="0" w:right="0" w:hanging="0"/>
              <w:jc w:val="left"/>
              <w:rPr/>
            </w:pPr>
            <w:r>
              <w:rPr/>
              <w:t>  ​ ​ ​</w:t>
            </w:r>
          </w:p>
        </w:tc>
        <w:tc>
          <w:tcPr>
            <w:tcW w:w="9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Receivable</w:t>
            </w:r>
          </w:p>
        </w:tc>
        <w:tc>
          <w:tcPr>
            <w:tcW w:w="346" w:type="dxa"/>
            <w:tcBorders/>
            <w:vAlign w:val="center"/>
          </w:tcPr>
          <w:p>
            <w:pPr>
              <w:pStyle w:val="TableContents"/>
              <w:bidi w:val="0"/>
              <w:spacing w:before="0" w:after="1"/>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Deficit</w:t>
            </w:r>
          </w:p>
        </w:tc>
        <w:tc>
          <w:tcPr>
            <w:tcW w:w="346" w:type="dxa"/>
            <w:tcBorders/>
            <w:vAlign w:val="center"/>
          </w:tcPr>
          <w:p>
            <w:pPr>
              <w:pStyle w:val="TableContents"/>
              <w:bidi w:val="0"/>
              <w:spacing w:before="0" w:after="1"/>
              <w:ind w:left="0" w:right="0" w:hanging="0"/>
              <w:jc w:val="left"/>
              <w:rPr/>
            </w:pPr>
            <w:r>
              <w:rPr/>
              <w:t>  ​ ​ ​</w:t>
            </w:r>
          </w:p>
        </w:tc>
        <w:tc>
          <w:tcPr>
            <w:tcW w:w="10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Equity</w:t>
            </w:r>
          </w:p>
        </w:tc>
      </w:tr>
      <w:tr>
        <w:trPr/>
        <w:tc>
          <w:tcPr>
            <w:tcW w:w="94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Balance,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13,640</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1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3,456</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1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17,685,900</w:t>
            </w:r>
          </w:p>
        </w:tc>
        <w:tc>
          <w:tcPr>
            <w:tcW w:w="346" w:type="dxa"/>
            <w:tcBorders/>
            <w:shd w:fill="CCEEFF" w:val="clear"/>
            <w:vAlign w:val="center"/>
          </w:tcPr>
          <w:p>
            <w:pPr>
              <w:pStyle w:val="TableContents"/>
              <w:bidi w:val="0"/>
              <w:spacing w:before="0" w:after="1"/>
              <w:ind w:left="0" w:right="0" w:hanging="0"/>
              <w:jc w:val="left"/>
              <w:rPr/>
            </w:pPr>
            <w:r>
              <w:rPr/>
              <w:t>​</w:t>
            </w:r>
          </w:p>
        </w:tc>
        <w:tc>
          <w:tcPr>
            <w:tcW w:w="324"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2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(8,330,314)</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9,355,587</w:t>
            </w:r>
          </w:p>
        </w:tc>
      </w:tr>
      <w:tr>
        <w:trPr/>
        <w:tc>
          <w:tcPr>
            <w:tcW w:w="9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24" w:type="dxa"/>
            <w:tcBorders/>
            <w:vAlign w:val="center"/>
          </w:tcPr>
          <w:p>
            <w:pPr>
              <w:pStyle w:val="TableContents"/>
              <w:bidi w:val="0"/>
              <w:spacing w:before="0" w:after="1"/>
              <w:ind w:left="0" w:right="0" w:hanging="0"/>
              <w:jc w:val="left"/>
              <w:rPr/>
            </w:pPr>
            <w:r>
              <w:rPr/>
              <w:t>​</w:t>
            </w:r>
          </w:p>
        </w:tc>
        <w:tc>
          <w:tcPr>
            <w:tcW w:w="62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r>
      <w:tr>
        <w:trPr/>
        <w:tc>
          <w:tcPr>
            <w:tcW w:w="94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5"/>
              </w:rPr>
            </w:pPr>
            <w:r>
              <w:rPr>
                <w:rFonts w:ascii="Times New Roman;Times;serif" w:hAnsi="Times New Roman;Times;serif"/>
                <w:sz w:val="15"/>
              </w:rPr>
              <w:t>Share-based compensation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14,182</w:t>
            </w:r>
          </w:p>
        </w:tc>
        <w:tc>
          <w:tcPr>
            <w:tcW w:w="346" w:type="dxa"/>
            <w:tcBorders/>
            <w:shd w:fill="CCEEFF" w:val="clear"/>
            <w:vAlign w:val="center"/>
          </w:tcPr>
          <w:p>
            <w:pPr>
              <w:pStyle w:val="TableContents"/>
              <w:bidi w:val="0"/>
              <w:spacing w:before="0" w:after="1"/>
              <w:ind w:left="0" w:right="0" w:hanging="0"/>
              <w:jc w:val="left"/>
              <w:rPr/>
            </w:pPr>
            <w:r>
              <w:rPr/>
              <w:t>​</w:t>
            </w:r>
          </w:p>
        </w:tc>
        <w:tc>
          <w:tcPr>
            <w:tcW w:w="324" w:type="dxa"/>
            <w:tcBorders/>
            <w:shd w:fill="CCEEFF" w:val="clear"/>
            <w:vAlign w:val="center"/>
          </w:tcPr>
          <w:p>
            <w:pPr>
              <w:pStyle w:val="TableContents"/>
              <w:bidi w:val="0"/>
              <w:spacing w:before="0" w:after="1"/>
              <w:ind w:left="0" w:right="0" w:hanging="0"/>
              <w:jc w:val="left"/>
              <w:rPr/>
            </w:pPr>
            <w:r>
              <w:rPr/>
              <w:t>​</w:t>
            </w:r>
          </w:p>
        </w:tc>
        <w:tc>
          <w:tcPr>
            <w:tcW w:w="62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14,182</w:t>
            </w:r>
          </w:p>
        </w:tc>
      </w:tr>
      <w:tr>
        <w:trPr/>
        <w:tc>
          <w:tcPr>
            <w:tcW w:w="946" w:type="dxa"/>
            <w:tcBorders/>
            <w:vAlign w:val="center"/>
          </w:tcPr>
          <w:p>
            <w:pPr>
              <w:pStyle w:val="TableContents"/>
              <w:pBdr/>
              <w:bidi w:val="0"/>
              <w:spacing w:before="0" w:after="1"/>
              <w:ind w:left="0" w:right="0" w:hanging="0"/>
              <w:jc w:val="left"/>
              <w:rPr>
                <w:rFonts w:ascii="Times New Roman;Times;serif" w:hAnsi="Times New Roman;Times;serif"/>
                <w:sz w:val="15"/>
              </w:rPr>
            </w:pPr>
            <w:r>
              <w:rPr>
                <w:rFonts w:ascii="Times New Roman;Times;serif" w:hAnsi="Times New Roman;Times;serif"/>
                <w:sz w:val="15"/>
              </w:rPr>
              <w:t>Issuance of common stock in private placement, net of offering costs</w:t>
            </w:r>
          </w:p>
        </w:tc>
        <w:tc>
          <w:tcPr>
            <w:tcW w:w="34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167,250</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17</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40,139,983</w:t>
            </w:r>
          </w:p>
        </w:tc>
        <w:tc>
          <w:tcPr>
            <w:tcW w:w="346" w:type="dxa"/>
            <w:tcBorders/>
            <w:vAlign w:val="center"/>
          </w:tcPr>
          <w:p>
            <w:pPr>
              <w:pStyle w:val="TableContents"/>
              <w:bidi w:val="0"/>
              <w:spacing w:before="0" w:after="1"/>
              <w:ind w:left="0" w:right="0" w:hanging="0"/>
              <w:jc w:val="left"/>
              <w:rPr/>
            </w:pPr>
            <w:r>
              <w:rPr/>
              <w:t>​</w:t>
            </w:r>
          </w:p>
        </w:tc>
        <w:tc>
          <w:tcPr>
            <w:tcW w:w="324" w:type="dxa"/>
            <w:tcBorders/>
            <w:vAlign w:val="center"/>
          </w:tcPr>
          <w:p>
            <w:pPr>
              <w:pStyle w:val="TableContents"/>
              <w:bidi w:val="0"/>
              <w:spacing w:before="0" w:after="1"/>
              <w:ind w:left="0" w:right="0" w:hanging="0"/>
              <w:jc w:val="left"/>
              <w:rPr/>
            </w:pPr>
            <w:r>
              <w:rPr/>
              <w:t>​</w:t>
            </w:r>
          </w:p>
        </w:tc>
        <w:tc>
          <w:tcPr>
            <w:tcW w:w="62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40,140,000</w:t>
            </w:r>
          </w:p>
        </w:tc>
      </w:tr>
      <w:tr>
        <w:trPr/>
        <w:tc>
          <w:tcPr>
            <w:tcW w:w="94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loss from continuing operations for the period</w:t>
            </w:r>
          </w:p>
        </w:tc>
        <w:tc>
          <w:tcPr>
            <w:tcW w:w="34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24" w:type="dxa"/>
            <w:tcBorders/>
            <w:shd w:fill="CCEEFF" w:val="clear"/>
            <w:vAlign w:val="center"/>
          </w:tcPr>
          <w:p>
            <w:pPr>
              <w:pStyle w:val="TableContents"/>
              <w:bidi w:val="0"/>
              <w:spacing w:before="0" w:after="1"/>
              <w:ind w:left="0" w:right="0" w:hanging="0"/>
              <w:jc w:val="left"/>
              <w:rPr/>
            </w:pPr>
            <w:r>
              <w:rPr/>
              <w:t>​</w:t>
            </w:r>
          </w:p>
        </w:tc>
        <w:tc>
          <w:tcPr>
            <w:tcW w:w="62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(616,265)</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(616,265)</w:t>
            </w:r>
          </w:p>
        </w:tc>
      </w:tr>
      <w:tr>
        <w:trPr/>
        <w:tc>
          <w:tcPr>
            <w:tcW w:w="946" w:type="dxa"/>
            <w:tcBorders/>
            <w:vAlign w:val="center"/>
          </w:tcPr>
          <w:p>
            <w:pPr>
              <w:pStyle w:val="TableContents"/>
              <w:pBdr/>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Balance, March 31, 2026</w:t>
            </w:r>
          </w:p>
        </w:tc>
        <w:tc>
          <w:tcPr>
            <w:tcW w:w="346" w:type="dxa"/>
            <w:tcBorders/>
            <w:vAlign w:val="center"/>
          </w:tcPr>
          <w:p>
            <w:pPr>
              <w:pStyle w:val="TableContents"/>
              <w:bidi w:val="0"/>
              <w:spacing w:before="0" w:after="1"/>
              <w:ind w:left="0" w:right="0" w:hanging="0"/>
              <w:jc w:val="left"/>
              <w:rPr/>
            </w:pPr>
            <w:r>
              <w:rPr/>
              <w:t>​</w:t>
            </w:r>
          </w:p>
        </w:tc>
        <w:tc>
          <w:tcPr>
            <w:tcW w:w="7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5"/>
              </w:rPr>
            </w:pPr>
            <w:r>
              <w:rPr>
                <w:rFonts w:ascii="Times New Roman;Times;serif" w:hAnsi="Times New Roman;Times;serif"/>
                <w:b/>
                <w:sz w:val="15"/>
              </w:rPr>
              <w:t>180,890</w:t>
            </w:r>
          </w:p>
        </w:tc>
        <w:tc>
          <w:tcPr>
            <w:tcW w:w="346" w:type="dxa"/>
            <w:tcBorders/>
            <w:vAlign w:val="center"/>
          </w:tcPr>
          <w:p>
            <w:pPr>
              <w:pStyle w:val="TableContents"/>
              <w:bidi w:val="0"/>
              <w:spacing w:before="0" w:after="1"/>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w:t>
            </w:r>
          </w:p>
        </w:tc>
        <w:tc>
          <w:tcPr>
            <w:tcW w:w="41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5"/>
              </w:rPr>
            </w:pPr>
            <w:r>
              <w:rPr>
                <w:rFonts w:ascii="Times New Roman;Times;serif" w:hAnsi="Times New Roman;Times;serif"/>
                <w:b/>
                <w:sz w:val="15"/>
              </w:rPr>
              <w:t>18</w:t>
            </w:r>
          </w:p>
        </w:tc>
        <w:tc>
          <w:tcPr>
            <w:tcW w:w="346" w:type="dxa"/>
            <w:tcBorders/>
            <w:vAlign w:val="center"/>
          </w:tcPr>
          <w:p>
            <w:pPr>
              <w:pStyle w:val="TableContents"/>
              <w:bidi w:val="0"/>
              <w:spacing w:before="0" w:after="1"/>
              <w:ind w:left="0" w:right="0" w:hanging="0"/>
              <w:jc w:val="left"/>
              <w:rPr/>
            </w:pPr>
            <w:r>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5"/>
              </w:rPr>
            </w:pPr>
            <w:r>
              <w:rPr>
                <w:rFonts w:ascii="Times New Roman;Times;serif" w:hAnsi="Times New Roman;Times;serif"/>
                <w:b/>
                <w:sz w:val="15"/>
              </w:rPr>
              <w:t>3,456</w:t>
            </w:r>
          </w:p>
        </w:tc>
        <w:tc>
          <w:tcPr>
            <w:tcW w:w="346" w:type="dxa"/>
            <w:tcBorders/>
            <w:vAlign w:val="center"/>
          </w:tcPr>
          <w:p>
            <w:pPr>
              <w:pStyle w:val="TableContents"/>
              <w:bidi w:val="0"/>
              <w:spacing w:before="0" w:after="1"/>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w:t>
            </w:r>
          </w:p>
        </w:tc>
        <w:tc>
          <w:tcPr>
            <w:tcW w:w="415"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5"/>
              </w:rPr>
            </w:pPr>
            <w:r>
              <w:rPr>
                <w:rFonts w:ascii="Times New Roman;Times;serif" w:hAnsi="Times New Roman;Times;serif"/>
                <w:b/>
                <w:sz w:val="15"/>
              </w:rPr>
              <w:t>57,840,065</w:t>
            </w:r>
          </w:p>
        </w:tc>
        <w:tc>
          <w:tcPr>
            <w:tcW w:w="346" w:type="dxa"/>
            <w:tcBorders/>
            <w:vAlign w:val="center"/>
          </w:tcPr>
          <w:p>
            <w:pPr>
              <w:pStyle w:val="TableContents"/>
              <w:bidi w:val="0"/>
              <w:spacing w:before="0" w:after="1"/>
              <w:ind w:left="0" w:right="0" w:hanging="0"/>
              <w:jc w:val="left"/>
              <w:rPr/>
            </w:pPr>
            <w:r>
              <w:rPr/>
              <w:t>​</w:t>
            </w:r>
          </w:p>
        </w:tc>
        <w:tc>
          <w:tcPr>
            <w:tcW w:w="32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w:t>
            </w:r>
          </w:p>
        </w:tc>
        <w:tc>
          <w:tcPr>
            <w:tcW w:w="62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w:t>
            </w:r>
          </w:p>
        </w:tc>
        <w:tc>
          <w:tcPr>
            <w:tcW w:w="7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5"/>
              </w:rPr>
            </w:pPr>
            <w:r>
              <w:rPr>
                <w:rFonts w:ascii="Times New Roman;Times;serif" w:hAnsi="Times New Roman;Times;serif"/>
                <w:b/>
                <w:sz w:val="15"/>
              </w:rPr>
              <w:t>(8,946,579)</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5"/>
              </w:rPr>
            </w:pPr>
            <w:r>
              <w:rPr>
                <w:rFonts w:ascii="Times New Roman;Times;serif" w:hAnsi="Times New Roman;Times;serif"/>
                <w:b/>
                <w:sz w:val="15"/>
              </w:rPr>
              <w:t>48,893,504</w:t>
            </w:r>
          </w:p>
        </w:tc>
      </w:tr>
      <w:tr>
        <w:trPr/>
        <w:tc>
          <w:tcPr>
            <w:tcW w:w="9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24" w:type="dxa"/>
            <w:tcBorders/>
            <w:shd w:fill="CCEEFF" w:val="clear"/>
            <w:vAlign w:val="center"/>
          </w:tcPr>
          <w:p>
            <w:pPr>
              <w:pStyle w:val="TableContents"/>
              <w:bidi w:val="0"/>
              <w:spacing w:before="0" w:after="1"/>
              <w:ind w:left="0" w:right="0" w:hanging="0"/>
              <w:jc w:val="left"/>
              <w:rPr/>
            </w:pPr>
            <w:r>
              <w:rPr/>
              <w:t>​</w:t>
            </w:r>
          </w:p>
        </w:tc>
        <w:tc>
          <w:tcPr>
            <w:tcW w:w="62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946" w:type="dxa"/>
            <w:tcBorders/>
            <w:vAlign w:val="center"/>
          </w:tcPr>
          <w:p>
            <w:pPr>
              <w:pStyle w:val="TableContents"/>
              <w:pBdr/>
              <w:bidi w:val="0"/>
              <w:spacing w:before="0" w:after="1"/>
              <w:ind w:left="0" w:right="0" w:hanging="0"/>
              <w:jc w:val="left"/>
              <w:rPr>
                <w:rFonts w:ascii="Times New Roman;Times;serif" w:hAnsi="Times New Roman;Times;serif"/>
                <w:sz w:val="15"/>
              </w:rPr>
            </w:pPr>
            <w:r>
              <w:rPr>
                <w:rFonts w:ascii="Times New Roman;Times;serif" w:hAnsi="Times New Roman;Times;serif"/>
                <w:sz w:val="15"/>
              </w:rPr>
              <w:t>Share-based compensation expenses</w:t>
            </w:r>
          </w:p>
        </w:tc>
        <w:tc>
          <w:tcPr>
            <w:tcW w:w="34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14,182</w:t>
            </w:r>
          </w:p>
        </w:tc>
        <w:tc>
          <w:tcPr>
            <w:tcW w:w="346" w:type="dxa"/>
            <w:tcBorders/>
            <w:vAlign w:val="center"/>
          </w:tcPr>
          <w:p>
            <w:pPr>
              <w:pStyle w:val="TableContents"/>
              <w:bidi w:val="0"/>
              <w:spacing w:before="0" w:after="1"/>
              <w:ind w:left="0" w:right="0" w:hanging="0"/>
              <w:jc w:val="left"/>
              <w:rPr/>
            </w:pPr>
            <w:r>
              <w:rPr/>
              <w:t>​</w:t>
            </w:r>
          </w:p>
        </w:tc>
        <w:tc>
          <w:tcPr>
            <w:tcW w:w="324" w:type="dxa"/>
            <w:tcBorders/>
            <w:vAlign w:val="center"/>
          </w:tcPr>
          <w:p>
            <w:pPr>
              <w:pStyle w:val="TableContents"/>
              <w:bidi w:val="0"/>
              <w:spacing w:before="0" w:after="1"/>
              <w:ind w:left="0" w:right="0" w:hanging="0"/>
              <w:jc w:val="left"/>
              <w:rPr/>
            </w:pPr>
            <w:r>
              <w:rPr/>
              <w:t>​</w:t>
            </w:r>
          </w:p>
        </w:tc>
        <w:tc>
          <w:tcPr>
            <w:tcW w:w="62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14,182</w:t>
            </w:r>
          </w:p>
        </w:tc>
      </w:tr>
      <w:tr>
        <w:trPr/>
        <w:tc>
          <w:tcPr>
            <w:tcW w:w="94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5"/>
              </w:rPr>
            </w:pPr>
            <w:r>
              <w:rPr>
                <w:rFonts w:ascii="Times New Roman;Times;serif" w:hAnsi="Times New Roman;Times;serif"/>
                <w:sz w:val="15"/>
              </w:rPr>
              <w:t>Issuance of common stock under ATM offering</w:t>
            </w:r>
          </w:p>
        </w:tc>
        <w:tc>
          <w:tcPr>
            <w:tcW w:w="34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2,775,000</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278</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30,947,573</w:t>
            </w:r>
          </w:p>
        </w:tc>
        <w:tc>
          <w:tcPr>
            <w:tcW w:w="346" w:type="dxa"/>
            <w:tcBorders/>
            <w:shd w:fill="CCEEFF" w:val="clear"/>
            <w:vAlign w:val="center"/>
          </w:tcPr>
          <w:p>
            <w:pPr>
              <w:pStyle w:val="TableContents"/>
              <w:bidi w:val="0"/>
              <w:spacing w:before="0" w:after="1"/>
              <w:ind w:left="0" w:right="0" w:hanging="0"/>
              <w:jc w:val="left"/>
              <w:rPr/>
            </w:pPr>
            <w:r>
              <w:rPr/>
              <w:t>​</w:t>
            </w:r>
          </w:p>
        </w:tc>
        <w:tc>
          <w:tcPr>
            <w:tcW w:w="324" w:type="dxa"/>
            <w:tcBorders/>
            <w:shd w:fill="CCEEFF" w:val="clear"/>
            <w:vAlign w:val="center"/>
          </w:tcPr>
          <w:p>
            <w:pPr>
              <w:pStyle w:val="TableContents"/>
              <w:bidi w:val="0"/>
              <w:spacing w:before="0" w:after="1"/>
              <w:ind w:left="0" w:right="0" w:hanging="0"/>
              <w:jc w:val="left"/>
              <w:rPr/>
            </w:pPr>
            <w:r>
              <w:rPr/>
              <w:t>​</w:t>
            </w:r>
          </w:p>
        </w:tc>
        <w:tc>
          <w:tcPr>
            <w:tcW w:w="62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30,947,851</w:t>
            </w:r>
          </w:p>
        </w:tc>
      </w:tr>
      <w:tr>
        <w:trPr/>
        <w:tc>
          <w:tcPr>
            <w:tcW w:w="946" w:type="dxa"/>
            <w:tcBorders/>
            <w:vAlign w:val="center"/>
          </w:tcPr>
          <w:p>
            <w:pPr>
              <w:pStyle w:val="TableContents"/>
              <w:pBdr/>
              <w:bidi w:val="0"/>
              <w:spacing w:before="0" w:after="1"/>
              <w:ind w:left="0" w:right="0" w:hanging="0"/>
              <w:jc w:val="left"/>
              <w:rPr>
                <w:rFonts w:ascii="Times New Roman;Times;serif" w:hAnsi="Times New Roman;Times;serif"/>
                <w:sz w:val="15"/>
              </w:rPr>
            </w:pPr>
            <w:r>
              <w:rPr>
                <w:rFonts w:ascii="Times New Roman;Times;serif" w:hAnsi="Times New Roman;Times;serif"/>
                <w:sz w:val="15"/>
              </w:rPr>
              <w:t>Issuance of Class B common stock pursuant to stock subscription</w:t>
            </w:r>
          </w:p>
        </w:tc>
        <w:tc>
          <w:tcPr>
            <w:tcW w:w="34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200,000</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20</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399,980</w:t>
            </w:r>
          </w:p>
        </w:tc>
        <w:tc>
          <w:tcPr>
            <w:tcW w:w="346" w:type="dxa"/>
            <w:tcBorders/>
            <w:vAlign w:val="center"/>
          </w:tcPr>
          <w:p>
            <w:pPr>
              <w:pStyle w:val="TableContents"/>
              <w:bidi w:val="0"/>
              <w:spacing w:before="0" w:after="1"/>
              <w:ind w:left="0" w:right="0" w:hanging="0"/>
              <w:jc w:val="left"/>
              <w:rPr/>
            </w:pPr>
            <w:r>
              <w:rPr/>
              <w:t>​</w:t>
            </w:r>
          </w:p>
        </w:tc>
        <w:tc>
          <w:tcPr>
            <w:tcW w:w="324" w:type="dxa"/>
            <w:tcBorders/>
            <w:vAlign w:val="center"/>
          </w:tcPr>
          <w:p>
            <w:pPr>
              <w:pStyle w:val="TableContents"/>
              <w:bidi w:val="0"/>
              <w:spacing w:before="0" w:after="1"/>
              <w:ind w:left="0" w:right="0" w:hanging="0"/>
              <w:jc w:val="left"/>
              <w:rPr/>
            </w:pPr>
            <w:r>
              <w:rPr/>
              <w:t>​</w:t>
            </w:r>
          </w:p>
        </w:tc>
        <w:tc>
          <w:tcPr>
            <w:tcW w:w="62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400,000</w:t>
            </w:r>
          </w:p>
        </w:tc>
      </w:tr>
      <w:tr>
        <w:trPr/>
        <w:tc>
          <w:tcPr>
            <w:tcW w:w="94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5"/>
              </w:rPr>
            </w:pPr>
            <w:r>
              <w:rPr>
                <w:rFonts w:ascii="Times New Roman;Times;serif" w:hAnsi="Times New Roman;Times;serif"/>
                <w:sz w:val="15"/>
              </w:rPr>
              <w:t>Fraction shares issued due to reverse stock split</w:t>
            </w:r>
          </w:p>
        </w:tc>
        <w:tc>
          <w:tcPr>
            <w:tcW w:w="34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45</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24" w:type="dxa"/>
            <w:tcBorders/>
            <w:shd w:fill="CCEEFF" w:val="clear"/>
            <w:vAlign w:val="center"/>
          </w:tcPr>
          <w:p>
            <w:pPr>
              <w:pStyle w:val="TableContents"/>
              <w:bidi w:val="0"/>
              <w:spacing w:before="0" w:after="1"/>
              <w:ind w:left="0" w:right="0" w:hanging="0"/>
              <w:jc w:val="left"/>
              <w:rPr/>
            </w:pPr>
            <w:r>
              <w:rPr/>
              <w:t>​</w:t>
            </w:r>
          </w:p>
        </w:tc>
        <w:tc>
          <w:tcPr>
            <w:tcW w:w="62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946" w:type="dxa"/>
            <w:tcBorders/>
            <w:vAlign w:val="center"/>
          </w:tcPr>
          <w:p>
            <w:pPr>
              <w:pStyle w:val="TableContents"/>
              <w:pBdr/>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loss from continuing operations for the period</w:t>
            </w:r>
          </w:p>
        </w:tc>
        <w:tc>
          <w:tcPr>
            <w:tcW w:w="34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24" w:type="dxa"/>
            <w:tcBorders/>
            <w:vAlign w:val="center"/>
          </w:tcPr>
          <w:p>
            <w:pPr>
              <w:pStyle w:val="TableContents"/>
              <w:bidi w:val="0"/>
              <w:spacing w:before="0" w:after="1"/>
              <w:ind w:left="0" w:right="0" w:hanging="0"/>
              <w:jc w:val="left"/>
              <w:rPr/>
            </w:pPr>
            <w:r>
              <w:rPr/>
              <w:t>​</w:t>
            </w:r>
          </w:p>
        </w:tc>
        <w:tc>
          <w:tcPr>
            <w:tcW w:w="62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71,045</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71,045</w:t>
            </w:r>
          </w:p>
        </w:tc>
      </w:tr>
      <w:tr>
        <w:trPr/>
        <w:tc>
          <w:tcPr>
            <w:tcW w:w="9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24" w:type="dxa"/>
            <w:tcBorders/>
            <w:shd w:fill="CCEEFF" w:val="clear"/>
            <w:vAlign w:val="center"/>
          </w:tcPr>
          <w:p>
            <w:pPr>
              <w:pStyle w:val="TableContents"/>
              <w:bidi w:val="0"/>
              <w:spacing w:before="0" w:after="1"/>
              <w:ind w:left="0" w:right="0" w:hanging="0"/>
              <w:jc w:val="left"/>
              <w:rPr/>
            </w:pPr>
            <w:r>
              <w:rPr/>
              <w:t>​</w:t>
            </w:r>
          </w:p>
        </w:tc>
        <w:tc>
          <w:tcPr>
            <w:tcW w:w="62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946" w:type="dxa"/>
            <w:tcBorders/>
            <w:vAlign w:val="center"/>
          </w:tcPr>
          <w:p>
            <w:pPr>
              <w:pStyle w:val="TableContents"/>
              <w:pBdr/>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Balance, June 30, 2026</w:t>
            </w:r>
          </w:p>
        </w:tc>
        <w:tc>
          <w:tcPr>
            <w:tcW w:w="346" w:type="dxa"/>
            <w:tcBorders/>
            <w:vAlign w:val="center"/>
          </w:tcPr>
          <w:p>
            <w:pPr>
              <w:pStyle w:val="TableContents"/>
              <w:bidi w:val="0"/>
              <w:spacing w:before="0" w:after="1"/>
              <w:ind w:left="0" w:right="0" w:hanging="0"/>
              <w:jc w:val="left"/>
              <w:rPr/>
            </w:pPr>
            <w:r>
              <w:rPr/>
              <w:t> </w:t>
            </w:r>
          </w:p>
        </w:tc>
        <w:tc>
          <w:tcPr>
            <w:tcW w:w="7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5"/>
              </w:rPr>
            </w:pPr>
            <w:r>
              <w:rPr>
                <w:rFonts w:ascii="Times New Roman;Times;serif" w:hAnsi="Times New Roman;Times;serif"/>
                <w:b/>
                <w:sz w:val="15"/>
              </w:rPr>
              <w:t>2,955,935</w:t>
            </w:r>
          </w:p>
        </w:tc>
        <w:tc>
          <w:tcPr>
            <w:tcW w:w="346" w:type="dxa"/>
            <w:tcBorders/>
            <w:vAlign w:val="center"/>
          </w:tcPr>
          <w:p>
            <w:pPr>
              <w:pStyle w:val="TableContents"/>
              <w:bidi w:val="0"/>
              <w:spacing w:before="0" w:after="1"/>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w:t>
            </w:r>
          </w:p>
        </w:tc>
        <w:tc>
          <w:tcPr>
            <w:tcW w:w="41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5"/>
              </w:rPr>
            </w:pPr>
            <w:r>
              <w:rPr>
                <w:rFonts w:ascii="Times New Roman;Times;serif" w:hAnsi="Times New Roman;Times;serif"/>
                <w:b/>
                <w:sz w:val="15"/>
              </w:rPr>
              <w:t>296</w:t>
            </w:r>
          </w:p>
        </w:tc>
        <w:tc>
          <w:tcPr>
            <w:tcW w:w="346" w:type="dxa"/>
            <w:tcBorders/>
            <w:vAlign w:val="center"/>
          </w:tcPr>
          <w:p>
            <w:pPr>
              <w:pStyle w:val="TableContents"/>
              <w:bidi w:val="0"/>
              <w:spacing w:before="0" w:after="1"/>
              <w:ind w:left="0" w:right="0" w:hanging="0"/>
              <w:jc w:val="left"/>
              <w:rPr/>
            </w:pPr>
            <w:r>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5"/>
              </w:rPr>
            </w:pPr>
            <w:r>
              <w:rPr>
                <w:rFonts w:ascii="Times New Roman;Times;serif" w:hAnsi="Times New Roman;Times;serif"/>
                <w:b/>
                <w:sz w:val="15"/>
              </w:rPr>
              <w:t>203,456</w:t>
            </w:r>
          </w:p>
        </w:tc>
        <w:tc>
          <w:tcPr>
            <w:tcW w:w="346" w:type="dxa"/>
            <w:tcBorders/>
            <w:vAlign w:val="center"/>
          </w:tcPr>
          <w:p>
            <w:pPr>
              <w:pStyle w:val="TableContents"/>
              <w:bidi w:val="0"/>
              <w:spacing w:before="0" w:after="1"/>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w:t>
            </w:r>
          </w:p>
        </w:tc>
        <w:tc>
          <w:tcPr>
            <w:tcW w:w="41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5"/>
              </w:rPr>
            </w:pPr>
            <w:r>
              <w:rPr>
                <w:rFonts w:ascii="Times New Roman;Times;serif" w:hAnsi="Times New Roman;Times;serif"/>
                <w:b/>
                <w:sz w:val="15"/>
              </w:rPr>
              <w:t>20</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5"/>
              </w:rPr>
            </w:pPr>
            <w:r>
              <w:rPr>
                <w:rFonts w:ascii="Times New Roman;Times;serif" w:hAnsi="Times New Roman;Times;serif"/>
                <w:b/>
                <w:sz w:val="15"/>
              </w:rPr>
              <w:t>89,201,800</w:t>
            </w:r>
          </w:p>
        </w:tc>
        <w:tc>
          <w:tcPr>
            <w:tcW w:w="346" w:type="dxa"/>
            <w:tcBorders/>
            <w:vAlign w:val="center"/>
          </w:tcPr>
          <w:p>
            <w:pPr>
              <w:pStyle w:val="TableContents"/>
              <w:bidi w:val="0"/>
              <w:spacing w:before="0" w:after="1"/>
              <w:ind w:left="0" w:right="0" w:hanging="0"/>
              <w:jc w:val="left"/>
              <w:rPr/>
            </w:pPr>
            <w:r>
              <w:rPr/>
              <w:t>​</w:t>
            </w:r>
          </w:p>
        </w:tc>
        <w:tc>
          <w:tcPr>
            <w:tcW w:w="32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w:t>
            </w:r>
          </w:p>
        </w:tc>
        <w:tc>
          <w:tcPr>
            <w:tcW w:w="62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w:t>
            </w:r>
          </w:p>
        </w:tc>
        <w:tc>
          <w:tcPr>
            <w:tcW w:w="7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5"/>
              </w:rPr>
            </w:pPr>
            <w:r>
              <w:rPr>
                <w:rFonts w:ascii="Times New Roman;Times;serif" w:hAnsi="Times New Roman;Times;serif"/>
                <w:b/>
                <w:sz w:val="15"/>
              </w:rPr>
              <w:t>(8,875,534)</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w:t>
            </w:r>
          </w:p>
        </w:tc>
        <w:tc>
          <w:tcPr>
            <w:tcW w:w="886" w:type="dxa"/>
            <w:tcBorders>
              <w:bottom w:val="double" w:sz="6" w:space="0" w:color="000000"/>
            </w:tcBorders>
            <w:tcMar>
              <w:bottom w:w="28" w:type="dxa"/>
            </w:tcMar>
            <w:vAlign w:val="center"/>
          </w:tcPr>
          <w:p>
            <w:pPr>
              <w:pStyle w:val="TableContents"/>
              <w:bidi w:val="0"/>
              <w:spacing w:before="0" w:after="1"/>
              <w:ind w:left="0" w:right="45" w:hanging="0"/>
              <w:jc w:val="right"/>
              <w:rPr>
                <w:rFonts w:ascii="Times New Roman;Times;serif" w:hAnsi="Times New Roman;Times;serif"/>
                <w:b/>
                <w:sz w:val="15"/>
              </w:rPr>
            </w:pPr>
            <w:r>
              <w:rPr>
                <w:rFonts w:ascii="Times New Roman;Times;serif" w:hAnsi="Times New Roman;Times;serif"/>
                <w:b/>
                <w:sz w:val="15"/>
              </w:rPr>
              <w:t>80,326,582</w:t>
            </w:r>
          </w:p>
        </w:tc>
      </w:tr>
    </w:tbl>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479" w:name="Tc_4CIM2Dpbd0mLKyCl9y4GWA_17_21"/>
      <w:bookmarkStart w:id="480" w:name="Tc_OqtFeiPGrkOJRmz27oU_aA_17_18"/>
      <w:bookmarkStart w:id="481" w:name="Tc_oM74639-IUC_pXS67DZNIw_17_16"/>
      <w:bookmarkStart w:id="482" w:name="Tc_SsKKkc54Uky__cCVkd7u1w_17_15"/>
      <w:bookmarkStart w:id="483" w:name="Tc_yKSl5MlXU0arqICgYxetlQ_17_12"/>
      <w:bookmarkStart w:id="484" w:name="Tc_9SG_Gfk2ZEeXOOHIu7QxuA_17_10"/>
      <w:bookmarkStart w:id="485" w:name="Tc_YxD-nyaPwkCz4FcDXEYdLQ_17_9"/>
      <w:bookmarkStart w:id="486" w:name="Tc_Gy8mTuqpVESILfGGboWmBQ_17_4"/>
      <w:bookmarkStart w:id="487" w:name="Tc_SXZpg9ESW0qpKKORMrtiww_17_0"/>
      <w:bookmarkStart w:id="488" w:name="Tc_giPAb-2qFkuVuSV3ojLEjQ_15_16"/>
      <w:bookmarkStart w:id="489" w:name="Tc_XHfBoubTZECwiBFkx9WgJA_15_13"/>
      <w:bookmarkStart w:id="490" w:name="Tc_zosITdYx3Ump6BCBdYzhtw_15_10"/>
      <w:bookmarkStart w:id="491" w:name="Tc_Q5Fd-NXvr0Kr91YlL2PHiQ_15_7"/>
      <w:bookmarkStart w:id="492" w:name="Tc_eB2igKdTAki0PvVDyT6YZA_15_5"/>
      <w:bookmarkStart w:id="493" w:name="Tc_cUAPCpfqVU2G5FTpx21IUg_15_2"/>
      <w:bookmarkStart w:id="494" w:name="Tc_BUQiRM1zFkGDsC5MuYwljg_15_0"/>
      <w:bookmarkStart w:id="495" w:name="Tc_eVpYtgP87U-mJ7MeKH7NlA_14_19"/>
      <w:bookmarkStart w:id="496" w:name="Tc_8PWwNIPbkUCmeytef9r1bg_14_16"/>
      <w:bookmarkStart w:id="497" w:name="Tc__vegYgex5kKrLKwecrAcdA_14_10"/>
      <w:bookmarkStart w:id="498" w:name="Tc_hoJv0AoVOESojZ12Mg9XeA_14_7"/>
      <w:bookmarkStart w:id="499" w:name="Tc_GPLpW5vm5EaEscOAEIPlcg_14_5"/>
      <w:bookmarkStart w:id="500" w:name="Tc_EfzEoC5m1kW7xtwAo8Nx5w_14_2"/>
      <w:bookmarkStart w:id="501" w:name="Tc_lBpzjf8-bkqQN-SBm4eyfQ_14_0"/>
      <w:bookmarkStart w:id="502" w:name="Tc_AbGzEN2x1UKBEYdEwdrG-g_11_21"/>
      <w:bookmarkStart w:id="503" w:name="Tc_Ajn7IBEKL0-Km3nZREk3iw_11_18"/>
      <w:bookmarkStart w:id="504" w:name="Tc_3WcVhL0LTEyG4zJ11E2Ufw_11_16"/>
      <w:bookmarkStart w:id="505" w:name="Tc_dApQ-EzKD0GPjuPRbWUX9Q_11_15"/>
      <w:bookmarkStart w:id="506" w:name="Tc_GnW6WXNUzEWzRe03vLGCMA_11_12"/>
      <w:bookmarkStart w:id="507" w:name="Tc_yWEMgqdNvUCYfWkKg13jgw_11_10"/>
      <w:bookmarkStart w:id="508" w:name="Tc__RBlV8KMNkyFgfrRHGhtLA_11_9"/>
      <w:bookmarkStart w:id="509" w:name="Tc_--K-DZSX3kOqAIye5GOz_g_11_4"/>
      <w:bookmarkStart w:id="510" w:name="Tc_WoybZ5WBVUattijXioL7RQ_11_0"/>
      <w:bookmarkStart w:id="511" w:name="Tc_wrtllrJXh0qeCeq4LPgdQQ_9_16"/>
      <w:bookmarkStart w:id="512" w:name="Tc_xnIX5bAsHUWLmwSVuDRUow_9_13"/>
      <w:bookmarkStart w:id="513" w:name="Tc_AS0KhaCXVEarfO7DkIzgVw_9_10"/>
      <w:bookmarkStart w:id="514" w:name="Tc_juX-_ecOpEylLq0QR7unxg_9_7"/>
      <w:bookmarkStart w:id="515" w:name="Tc_Jo-moeXyrkaW-BYtGS8hFQ_9_5"/>
      <w:bookmarkStart w:id="516" w:name="Tc_0LRik_bWWE2CQCLEfHlTDA_9_2"/>
      <w:bookmarkStart w:id="517" w:name="Tc_Z_dudF1xS0Gy9Xp8Fmy6pQ_9_0"/>
      <w:bookmarkStart w:id="518" w:name="Tc_vOsvoRg6l06d-QmEVwLBRw_8_19"/>
      <w:bookmarkStart w:id="519" w:name="Tc_FgVXKC_gzUOYxtR425mbLw_8_16"/>
      <w:bookmarkStart w:id="520" w:name="Tc_ueELiXPJoUOlogHBQLFRog_8_10"/>
      <w:bookmarkStart w:id="521" w:name="Tc_a2K8o0ErK0-jP8UW-NlRXQ_8_7"/>
      <w:bookmarkStart w:id="522" w:name="Tc_Dj2NZbhaEUKp4HAUZgjzLg_8_5"/>
      <w:bookmarkStart w:id="523" w:name="Tc_FaKmJwO1-E-pw9sQLIbiQg_8_2"/>
      <w:bookmarkStart w:id="524" w:name="Tc_x5wNsloVa0aIiRkUsC4iUA_8_0"/>
      <w:bookmarkStart w:id="525" w:name="Tc_2NRQsxZY3UG6QS3QdKdkng_6_21"/>
      <w:bookmarkStart w:id="526" w:name="Tc_ZXW7bJu1g0Kxc0sSUCarvg_6_18"/>
      <w:bookmarkStart w:id="527" w:name="Tc_XNvi6kFRTUea2eGBlRMihg_6_16"/>
      <w:bookmarkStart w:id="528" w:name="Tc_HMVEf-jX0k25bTQErmDliw_6_15"/>
      <w:bookmarkStart w:id="529" w:name="Tc_YJD6MkSCs0eZFb14eG8sOw_6_12"/>
      <w:bookmarkStart w:id="530" w:name="Tc_-6JiBJvdskK2g7K0ZoMrIQ_6_10"/>
      <w:bookmarkStart w:id="531" w:name="Tc_mpCQD6nF5kq9XU3f6aqMfQ_6_9"/>
      <w:bookmarkStart w:id="532" w:name="Tc_M_asbs0JqkuiGlDawUNTvw_6_4"/>
      <w:bookmarkStart w:id="533" w:name="Tc__FCBFhG-MkO9UA3G9MyTQQ_6_0"/>
      <w:bookmarkStart w:id="534" w:name="Tc_Ej5ITlWtSEG6ake27sj4qQ_5_21"/>
      <w:bookmarkStart w:id="535" w:name="Tc_Ku19lhbeL0Sn5gclISSXZw_5_18"/>
      <w:bookmarkStart w:id="536" w:name="Tc_8NkrYA54d0SMZVg2_3_NEg_5_15"/>
      <w:bookmarkStart w:id="537" w:name="Tc_YEsSbJkN0kG74PqFj7K0Pw_5_12"/>
      <w:bookmarkStart w:id="538" w:name="Tc_FWx4qQNUwEySvo8yzO7Rvg_5_9"/>
      <w:bookmarkStart w:id="539" w:name="Tc_Lqt6-E5x5E6hMOoYN2uv-g_5_7"/>
      <w:bookmarkStart w:id="540" w:name="Tc_26DWvY37KkO27L54aPA41Q_5_4"/>
      <w:bookmarkStart w:id="541" w:name="Tc_NUzYGdVqSk6TP7s8_yITOg_5_2"/>
      <w:bookmarkStart w:id="542" w:name="Tc_07nJ6knliUWDCgKF15N_fA_4_21"/>
      <w:bookmarkStart w:id="543" w:name="Tc_zRzHFMQrckypAOID_iY8Fg_4_18"/>
      <w:bookmarkStart w:id="544" w:name="Tc_NukvFPgI1UW286h3xsNDRA_4_15"/>
      <w:bookmarkStart w:id="545" w:name="Tc_TpoQemyD5Eidg3WSV8-YJQ_4_12"/>
      <w:bookmarkStart w:id="546" w:name="Tc_YL0cwDl3QEa8lcyTz1B2yA_4_7"/>
      <w:bookmarkStart w:id="547" w:name="Tc_pIDSKGYNTUuDngpH3K2pow_4_2"/>
      <w:bookmarkStart w:id="548" w:name="Tc_twV1TLk_K0KOKiCUKzPEww_3_21"/>
      <w:bookmarkStart w:id="549" w:name="Tc_5vUM3MuapkGpfrAvkhoFEQ_3_18"/>
      <w:bookmarkStart w:id="550" w:name="Tc_xh0Eqh96IEqcY3bwN42aPQ_3_12"/>
      <w:bookmarkStart w:id="551" w:name="Tc_zuaJdMoiakaCM7yQjF2qTw_3_7"/>
      <w:bookmarkStart w:id="552" w:name="Tc_sZ-eNq62nE6_VQa5d-NCCg_3_2"/>
      <w:bookmarkStart w:id="553" w:name="Tc_UTleE1NLJkSAXhQYqw8j2Q_1_2"/>
      <w:bookmarkStart w:id="554" w:name="_9448fd48_299b_45bd_89c9_e0f9071009ac"/>
      <w:bookmarkStart w:id="555" w:name="Tc_4CIM2Dpbd0mLKyCl9y4GWA_17_21"/>
      <w:bookmarkStart w:id="556" w:name="Tc_OqtFeiPGrkOJRmz27oU_aA_17_18"/>
      <w:bookmarkStart w:id="557" w:name="Tc_oM74639-IUC_pXS67DZNIw_17_16"/>
      <w:bookmarkStart w:id="558" w:name="Tc_SsKKkc54Uky__cCVkd7u1w_17_15"/>
      <w:bookmarkStart w:id="559" w:name="Tc_yKSl5MlXU0arqICgYxetlQ_17_12"/>
      <w:bookmarkStart w:id="560" w:name="Tc_9SG_Gfk2ZEeXOOHIu7QxuA_17_10"/>
      <w:bookmarkStart w:id="561" w:name="Tc_YxD-nyaPwkCz4FcDXEYdLQ_17_9"/>
      <w:bookmarkStart w:id="562" w:name="Tc_Gy8mTuqpVESILfGGboWmBQ_17_4"/>
      <w:bookmarkStart w:id="563" w:name="Tc_SXZpg9ESW0qpKKORMrtiww_17_0"/>
      <w:bookmarkStart w:id="564" w:name="Tc_giPAb-2qFkuVuSV3ojLEjQ_15_16"/>
      <w:bookmarkStart w:id="565" w:name="Tc_XHfBoubTZECwiBFkx9WgJA_15_13"/>
      <w:bookmarkStart w:id="566" w:name="Tc_zosITdYx3Ump6BCBdYzhtw_15_10"/>
      <w:bookmarkStart w:id="567" w:name="Tc_Q5Fd-NXvr0Kr91YlL2PHiQ_15_7"/>
      <w:bookmarkStart w:id="568" w:name="Tc_eB2igKdTAki0PvVDyT6YZA_15_5"/>
      <w:bookmarkStart w:id="569" w:name="Tc_cUAPCpfqVU2G5FTpx21IUg_15_2"/>
      <w:bookmarkStart w:id="570" w:name="Tc_BUQiRM1zFkGDsC5MuYwljg_15_0"/>
      <w:bookmarkStart w:id="571" w:name="Tc_eVpYtgP87U-mJ7MeKH7NlA_14_19"/>
      <w:bookmarkStart w:id="572" w:name="Tc_8PWwNIPbkUCmeytef9r1bg_14_16"/>
      <w:bookmarkStart w:id="573" w:name="Tc__vegYgex5kKrLKwecrAcdA_14_10"/>
      <w:bookmarkStart w:id="574" w:name="Tc_hoJv0AoVOESojZ12Mg9XeA_14_7"/>
      <w:bookmarkStart w:id="575" w:name="Tc_GPLpW5vm5EaEscOAEIPlcg_14_5"/>
      <w:bookmarkStart w:id="576" w:name="Tc_EfzEoC5m1kW7xtwAo8Nx5w_14_2"/>
      <w:bookmarkStart w:id="577" w:name="Tc_lBpzjf8-bkqQN-SBm4eyfQ_14_0"/>
      <w:bookmarkStart w:id="578" w:name="Tc_AbGzEN2x1UKBEYdEwdrG-g_11_21"/>
      <w:bookmarkStart w:id="579" w:name="Tc_Ajn7IBEKL0-Km3nZREk3iw_11_18"/>
      <w:bookmarkStart w:id="580" w:name="Tc_3WcVhL0LTEyG4zJ11E2Ufw_11_16"/>
      <w:bookmarkStart w:id="581" w:name="Tc_dApQ-EzKD0GPjuPRbWUX9Q_11_15"/>
      <w:bookmarkStart w:id="582" w:name="Tc_GnW6WXNUzEWzRe03vLGCMA_11_12"/>
      <w:bookmarkStart w:id="583" w:name="Tc_yWEMgqdNvUCYfWkKg13jgw_11_10"/>
      <w:bookmarkStart w:id="584" w:name="Tc__RBlV8KMNkyFgfrRHGhtLA_11_9"/>
      <w:bookmarkStart w:id="585" w:name="Tc_--K-DZSX3kOqAIye5GOz_g_11_4"/>
      <w:bookmarkStart w:id="586" w:name="Tc_WoybZ5WBVUattijXioL7RQ_11_0"/>
      <w:bookmarkStart w:id="587" w:name="Tc_wrtllrJXh0qeCeq4LPgdQQ_9_16"/>
      <w:bookmarkStart w:id="588" w:name="Tc_xnIX5bAsHUWLmwSVuDRUow_9_13"/>
      <w:bookmarkStart w:id="589" w:name="Tc_AS0KhaCXVEarfO7DkIzgVw_9_10"/>
      <w:bookmarkStart w:id="590" w:name="Tc_juX-_ecOpEylLq0QR7unxg_9_7"/>
      <w:bookmarkStart w:id="591" w:name="Tc_Jo-moeXyrkaW-BYtGS8hFQ_9_5"/>
      <w:bookmarkStart w:id="592" w:name="Tc_0LRik_bWWE2CQCLEfHlTDA_9_2"/>
      <w:bookmarkStart w:id="593" w:name="Tc_Z_dudF1xS0Gy9Xp8Fmy6pQ_9_0"/>
      <w:bookmarkStart w:id="594" w:name="Tc_vOsvoRg6l06d-QmEVwLBRw_8_19"/>
      <w:bookmarkStart w:id="595" w:name="Tc_FgVXKC_gzUOYxtR425mbLw_8_16"/>
      <w:bookmarkStart w:id="596" w:name="Tc_ueELiXPJoUOlogHBQLFRog_8_10"/>
      <w:bookmarkStart w:id="597" w:name="Tc_a2K8o0ErK0-jP8UW-NlRXQ_8_7"/>
      <w:bookmarkStart w:id="598" w:name="Tc_Dj2NZbhaEUKp4HAUZgjzLg_8_5"/>
      <w:bookmarkStart w:id="599" w:name="Tc_FaKmJwO1-E-pw9sQLIbiQg_8_2"/>
      <w:bookmarkStart w:id="600" w:name="Tc_x5wNsloVa0aIiRkUsC4iUA_8_0"/>
      <w:bookmarkStart w:id="601" w:name="Tc_2NRQsxZY3UG6QS3QdKdkng_6_21"/>
      <w:bookmarkStart w:id="602" w:name="Tc_ZXW7bJu1g0Kxc0sSUCarvg_6_18"/>
      <w:bookmarkStart w:id="603" w:name="Tc_XNvi6kFRTUea2eGBlRMihg_6_16"/>
      <w:bookmarkStart w:id="604" w:name="Tc_HMVEf-jX0k25bTQErmDliw_6_15"/>
      <w:bookmarkStart w:id="605" w:name="Tc_YJD6MkSCs0eZFb14eG8sOw_6_12"/>
      <w:bookmarkStart w:id="606" w:name="Tc_-6JiBJvdskK2g7K0ZoMrIQ_6_10"/>
      <w:bookmarkStart w:id="607" w:name="Tc_mpCQD6nF5kq9XU3f6aqMfQ_6_9"/>
      <w:bookmarkStart w:id="608" w:name="Tc_M_asbs0JqkuiGlDawUNTvw_6_4"/>
      <w:bookmarkStart w:id="609" w:name="Tc__FCBFhG-MkO9UA3G9MyTQQ_6_0"/>
      <w:bookmarkStart w:id="610" w:name="Tc_Ej5ITlWtSEG6ake27sj4qQ_5_21"/>
      <w:bookmarkStart w:id="611" w:name="Tc_Ku19lhbeL0Sn5gclISSXZw_5_18"/>
      <w:bookmarkStart w:id="612" w:name="Tc_8NkrYA54d0SMZVg2_3_NEg_5_15"/>
      <w:bookmarkStart w:id="613" w:name="Tc_YEsSbJkN0kG74PqFj7K0Pw_5_12"/>
      <w:bookmarkStart w:id="614" w:name="Tc_FWx4qQNUwEySvo8yzO7Rvg_5_9"/>
      <w:bookmarkStart w:id="615" w:name="Tc_Lqt6-E5x5E6hMOoYN2uv-g_5_7"/>
      <w:bookmarkStart w:id="616" w:name="Tc_26DWvY37KkO27L54aPA41Q_5_4"/>
      <w:bookmarkStart w:id="617" w:name="Tc_NUzYGdVqSk6TP7s8_yITOg_5_2"/>
      <w:bookmarkStart w:id="618" w:name="Tc_07nJ6knliUWDCgKF15N_fA_4_21"/>
      <w:bookmarkStart w:id="619" w:name="Tc_zRzHFMQrckypAOID_iY8Fg_4_18"/>
      <w:bookmarkStart w:id="620" w:name="Tc_NukvFPgI1UW286h3xsNDRA_4_15"/>
      <w:bookmarkStart w:id="621" w:name="Tc_TpoQemyD5Eidg3WSV8-YJQ_4_12"/>
      <w:bookmarkStart w:id="622" w:name="Tc_YL0cwDl3QEa8lcyTz1B2yA_4_7"/>
      <w:bookmarkStart w:id="623" w:name="Tc_pIDSKGYNTUuDngpH3K2pow_4_2"/>
      <w:bookmarkStart w:id="624" w:name="Tc_twV1TLk_K0KOKiCUKzPEww_3_21"/>
      <w:bookmarkStart w:id="625" w:name="Tc_5vUM3MuapkGpfrAvkhoFEQ_3_18"/>
      <w:bookmarkStart w:id="626" w:name="Tc_xh0Eqh96IEqcY3bwN42aPQ_3_12"/>
      <w:bookmarkStart w:id="627" w:name="Tc_zuaJdMoiakaCM7yQjF2qTw_3_7"/>
      <w:bookmarkStart w:id="628" w:name="Tc_sZ-eNq62nE6_VQa5d-NCCg_3_2"/>
      <w:bookmarkStart w:id="629" w:name="Tc_UTleE1NLJkSAXhQYqw8j2Q_1_2"/>
      <w:bookmarkStart w:id="630" w:name="_9448fd48_299b_45bd_89c9_e0f9071009ac"/>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p>
    <w:tbl>
      <w:tblPr>
        <w:tblW w:w="10339" w:type="dxa"/>
        <w:jc w:val="left"/>
        <w:tblInd w:w="0" w:type="dxa"/>
        <w:tblLayout w:type="fixed"/>
        <w:tblCellMar>
          <w:top w:w="0" w:type="dxa"/>
          <w:left w:w="0" w:type="dxa"/>
          <w:bottom w:w="0" w:type="dxa"/>
          <w:right w:w="0" w:type="dxa"/>
        </w:tblCellMar>
      </w:tblPr>
      <w:tblGrid>
        <w:gridCol w:w="946"/>
        <w:gridCol w:w="346"/>
        <w:gridCol w:w="691"/>
        <w:gridCol w:w="346"/>
        <w:gridCol w:w="216"/>
        <w:gridCol w:w="415"/>
        <w:gridCol w:w="346"/>
        <w:gridCol w:w="691"/>
        <w:gridCol w:w="346"/>
        <w:gridCol w:w="216"/>
        <w:gridCol w:w="415"/>
        <w:gridCol w:w="346"/>
        <w:gridCol w:w="181"/>
        <w:gridCol w:w="796"/>
        <w:gridCol w:w="346"/>
        <w:gridCol w:w="324"/>
        <w:gridCol w:w="622"/>
        <w:gridCol w:w="346"/>
        <w:gridCol w:w="225"/>
        <w:gridCol w:w="766"/>
        <w:gridCol w:w="346"/>
        <w:gridCol w:w="181"/>
        <w:gridCol w:w="886"/>
      </w:tblGrid>
      <w:tr>
        <w:trPr/>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00710" cy="175260"/>
                      <wp:effectExtent l="0" t="0" r="0" b="0"/>
                      <wp:wrapNone/>
                      <wp:docPr id="51" name="Frame51"/>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19710" cy="175260"/>
                      <wp:effectExtent l="0" t="0" r="0" b="0"/>
                      <wp:wrapNone/>
                      <wp:docPr id="52"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438785" cy="175260"/>
                      <wp:effectExtent l="0" t="0" r="0" b="0"/>
                      <wp:wrapNone/>
                      <wp:docPr id="53" name="Frame5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19710" cy="175260"/>
                      <wp:effectExtent l="0" t="0" r="0" b="0"/>
                      <wp:wrapNone/>
                      <wp:docPr id="54"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37160" cy="175260"/>
                      <wp:effectExtent l="0" t="0" r="0" b="0"/>
                      <wp:wrapNone/>
                      <wp:docPr id="55" name="Frame55"/>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63525" cy="175260"/>
                      <wp:effectExtent l="0" t="0" r="0" b="0"/>
                      <wp:wrapNone/>
                      <wp:docPr id="56" name="Frame56"/>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19710" cy="175260"/>
                      <wp:effectExtent l="0" t="0" r="0" b="0"/>
                      <wp:wrapNone/>
                      <wp:docPr id="57" name="Frame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438785" cy="175260"/>
                      <wp:effectExtent l="0" t="0" r="0" b="0"/>
                      <wp:wrapNone/>
                      <wp:docPr id="58" name="Frame5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175260"/>
                      <wp:effectExtent l="0" t="0" r="0" b="0"/>
                      <wp:wrapNone/>
                      <wp:docPr id="59" name="Frame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37160" cy="175260"/>
                      <wp:effectExtent l="0" t="0" r="0" b="0"/>
                      <wp:wrapNone/>
                      <wp:docPr id="60" name="Frame60"/>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63525" cy="175260"/>
                      <wp:effectExtent l="0" t="0" r="0" b="0"/>
                      <wp:wrapNone/>
                      <wp:docPr id="61" name="Frame61"/>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19710" cy="175260"/>
                      <wp:effectExtent l="0" t="0" r="0" b="0"/>
                      <wp:wrapNone/>
                      <wp:docPr id="62" name="Frame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14935" cy="175260"/>
                      <wp:effectExtent l="0" t="0" r="0" b="0"/>
                      <wp:wrapNone/>
                      <wp:docPr id="63" name="Frame6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05460" cy="175260"/>
                      <wp:effectExtent l="0" t="0" r="0" b="0"/>
                      <wp:wrapNone/>
                      <wp:docPr id="64" name="Frame6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9710" cy="175260"/>
                      <wp:effectExtent l="0" t="0" r="0" b="0"/>
                      <wp:wrapNone/>
                      <wp:docPr id="65" name="Frame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5740" cy="175260"/>
                      <wp:effectExtent l="0" t="0" r="0" b="0"/>
                      <wp:wrapNone/>
                      <wp:docPr id="66" name="Frame66"/>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394970" cy="175260"/>
                      <wp:effectExtent l="0" t="0" r="0" b="0"/>
                      <wp:wrapNone/>
                      <wp:docPr id="67" name="Frame67"/>
                      <a:graphic xmlns:a="http://schemas.openxmlformats.org/drawingml/2006/main">
                        <a:graphicData uri="http://schemas.microsoft.com/office/word/2010/wordprocessingShape">
                          <wps:wsp>
                            <wps:cNvSpPr txBox="1"/>
                            <wps:spPr>
                              <a:xfrm>
                                <a:off x="0" y="0"/>
                                <a:ext cx="394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175260"/>
                      <wp:effectExtent l="0" t="0" r="0" b="0"/>
                      <wp:wrapNone/>
                      <wp:docPr id="68" name="Frame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42875" cy="175260"/>
                      <wp:effectExtent l="0" t="0" r="0" b="0"/>
                      <wp:wrapNone/>
                      <wp:docPr id="69" name="Frame69"/>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486410" cy="175260"/>
                      <wp:effectExtent l="0" t="0" r="0" b="0"/>
                      <wp:wrapNone/>
                      <wp:docPr id="70" name="Frame70"/>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19710" cy="175260"/>
                      <wp:effectExtent l="0" t="0" r="0" b="0"/>
                      <wp:wrapNone/>
                      <wp:docPr id="71" name="Frame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14935" cy="175260"/>
                      <wp:effectExtent l="0" t="0" r="0" b="0"/>
                      <wp:wrapNone/>
                      <wp:docPr id="72" name="Frame7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562610" cy="175260"/>
                      <wp:effectExtent l="0" t="0" r="0" b="0"/>
                      <wp:wrapNone/>
                      <wp:docPr id="73" name="Frame7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82"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 Stock*</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w:t>
            </w:r>
          </w:p>
        </w:tc>
        <w:tc>
          <w:tcPr>
            <w:tcW w:w="62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w:t>
            </w:r>
          </w:p>
        </w:tc>
        <w:tc>
          <w:tcPr>
            <w:tcW w:w="62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Class A</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Class B</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77"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Additional</w:t>
            </w:r>
          </w:p>
        </w:tc>
        <w:tc>
          <w:tcPr>
            <w:tcW w:w="346"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w:t>
            </w:r>
          </w:p>
        </w:tc>
        <w:tc>
          <w:tcPr>
            <w:tcW w:w="62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Retained Earnings</w:t>
            </w:r>
          </w:p>
        </w:tc>
        <w:tc>
          <w:tcPr>
            <w:tcW w:w="346" w:type="dxa"/>
            <w:tcBorders/>
            <w:vAlign w:val="center"/>
          </w:tcPr>
          <w:p>
            <w:pPr>
              <w:pStyle w:val="TableContents"/>
              <w:bidi w:val="0"/>
              <w:spacing w:before="0" w:after="0"/>
              <w:ind w:left="0" w:right="0" w:hanging="0"/>
              <w:jc w:val="left"/>
              <w:rPr/>
            </w:pPr>
            <w:r>
              <w:rPr/>
              <w:t>​</w:t>
            </w:r>
          </w:p>
        </w:tc>
        <w:tc>
          <w:tcPr>
            <w:tcW w:w="1067"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Total</w:t>
            </w:r>
          </w:p>
        </w:tc>
      </w:tr>
      <w:tr>
        <w:trPr/>
        <w:tc>
          <w:tcPr>
            <w:tcW w:w="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77"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paid-in</w:t>
            </w:r>
          </w:p>
        </w:tc>
        <w:tc>
          <w:tcPr>
            <w:tcW w:w="346"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Subscription</w:t>
            </w:r>
          </w:p>
        </w:tc>
        <w:tc>
          <w:tcPr>
            <w:tcW w:w="34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 xml:space="preserve">(Accumulated </w:t>
            </w:r>
          </w:p>
        </w:tc>
        <w:tc>
          <w:tcPr>
            <w:tcW w:w="346" w:type="dxa"/>
            <w:tcBorders/>
            <w:vAlign w:val="center"/>
          </w:tcPr>
          <w:p>
            <w:pPr>
              <w:pStyle w:val="TableContents"/>
              <w:bidi w:val="0"/>
              <w:spacing w:before="0" w:after="0"/>
              <w:ind w:left="0" w:right="0" w:hanging="0"/>
              <w:jc w:val="left"/>
              <w:rPr/>
            </w:pPr>
            <w:r>
              <w:rPr/>
              <w:t>​</w:t>
            </w:r>
          </w:p>
        </w:tc>
        <w:tc>
          <w:tcPr>
            <w:tcW w:w="1067"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Stockholders’</w:t>
            </w:r>
          </w:p>
        </w:tc>
      </w:tr>
      <w:tr>
        <w:trPr/>
        <w:tc>
          <w:tcPr>
            <w:tcW w:w="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stock</w:t>
            </w:r>
          </w:p>
        </w:tc>
        <w:tc>
          <w:tcPr>
            <w:tcW w:w="346" w:type="dxa"/>
            <w:tcBorders/>
            <w:vAlign w:val="center"/>
          </w:tcPr>
          <w:p>
            <w:pPr>
              <w:pStyle w:val="TableContents"/>
              <w:bidi w:val="0"/>
              <w:spacing w:before="0" w:after="0"/>
              <w:ind w:left="0" w:right="0" w:hanging="0"/>
              <w:jc w:val="left"/>
              <w:rPr/>
            </w:pPr>
            <w:r>
              <w:rPr/>
              <w:t>  ​ ​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Amount</w:t>
            </w:r>
          </w:p>
        </w:tc>
        <w:tc>
          <w:tcPr>
            <w:tcW w:w="346" w:type="dxa"/>
            <w:tcBorders/>
            <w:vAlign w:val="center"/>
          </w:tcPr>
          <w:p>
            <w:pPr>
              <w:pStyle w:val="TableContents"/>
              <w:bidi w:val="0"/>
              <w:spacing w:before="0" w:after="0"/>
              <w:ind w:left="0" w:right="0" w:hanging="0"/>
              <w:jc w:val="left"/>
              <w:rPr/>
            </w:pPr>
            <w:r>
              <w:rPr/>
              <w:t>  ​ ​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stock</w:t>
            </w:r>
          </w:p>
        </w:tc>
        <w:tc>
          <w:tcPr>
            <w:tcW w:w="346" w:type="dxa"/>
            <w:tcBorders/>
            <w:vAlign w:val="center"/>
          </w:tcPr>
          <w:p>
            <w:pPr>
              <w:pStyle w:val="TableContents"/>
              <w:bidi w:val="0"/>
              <w:spacing w:before="0" w:after="0"/>
              <w:ind w:left="0" w:right="0" w:hanging="0"/>
              <w:jc w:val="left"/>
              <w:rPr/>
            </w:pPr>
            <w:r>
              <w:rPr/>
              <w:t>  ​ ​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Amount</w:t>
            </w:r>
          </w:p>
        </w:tc>
        <w:tc>
          <w:tcPr>
            <w:tcW w:w="346" w:type="dxa"/>
            <w:tcBorders/>
            <w:vAlign w:val="center"/>
          </w:tcPr>
          <w:p>
            <w:pPr>
              <w:pStyle w:val="TableContents"/>
              <w:bidi w:val="0"/>
              <w:spacing w:before="0" w:after="0"/>
              <w:ind w:left="0" w:right="0" w:hanging="0"/>
              <w:jc w:val="left"/>
              <w:rPr/>
            </w:pPr>
            <w:r>
              <w:rPr/>
              <w:t>  ​ ​ ​</w:t>
            </w:r>
          </w:p>
        </w:tc>
        <w:tc>
          <w:tcPr>
            <w:tcW w:w="9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capital</w:t>
            </w:r>
          </w:p>
        </w:tc>
        <w:tc>
          <w:tcPr>
            <w:tcW w:w="346" w:type="dxa"/>
            <w:tcBorders/>
            <w:vAlign w:val="center"/>
          </w:tcPr>
          <w:p>
            <w:pPr>
              <w:pStyle w:val="TableContents"/>
              <w:bidi w:val="0"/>
              <w:spacing w:before="0" w:after="0"/>
              <w:ind w:left="0" w:right="0" w:hanging="0"/>
              <w:jc w:val="left"/>
              <w:rPr/>
            </w:pPr>
            <w:r>
              <w:rPr/>
              <w:t>  ​ ​ ​</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Receivable</w:t>
            </w:r>
          </w:p>
        </w:tc>
        <w:tc>
          <w:tcPr>
            <w:tcW w:w="346" w:type="dxa"/>
            <w:tcBorders/>
            <w:vAlign w:val="center"/>
          </w:tcPr>
          <w:p>
            <w:pPr>
              <w:pStyle w:val="TableContents"/>
              <w:bidi w:val="0"/>
              <w:spacing w:before="0" w:after="0"/>
              <w:ind w:left="0" w:right="0" w:hanging="0"/>
              <w:jc w:val="left"/>
              <w:rPr/>
            </w:pPr>
            <w:r>
              <w:rPr/>
              <w:t>  ​ ​ ​</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Deficit)</w:t>
            </w:r>
          </w:p>
        </w:tc>
        <w:tc>
          <w:tcPr>
            <w:tcW w:w="346" w:type="dxa"/>
            <w:tcBorders/>
            <w:vAlign w:val="center"/>
          </w:tcPr>
          <w:p>
            <w:pPr>
              <w:pStyle w:val="TableContents"/>
              <w:bidi w:val="0"/>
              <w:spacing w:before="0" w:after="0"/>
              <w:ind w:left="0" w:right="0" w:hanging="0"/>
              <w:jc w:val="left"/>
              <w:rPr/>
            </w:pPr>
            <w:r>
              <w:rPr/>
              <w:t>  ​ ​ ​</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Equity</w:t>
            </w:r>
          </w:p>
        </w:tc>
      </w:tr>
      <w:tr>
        <w:trPr/>
        <w:tc>
          <w:tcPr>
            <w:tcW w:w="94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Balance, December 31, 2024*</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13,361</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41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2,735</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41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17,298,282</w:t>
            </w:r>
          </w:p>
        </w:tc>
        <w:tc>
          <w:tcPr>
            <w:tcW w:w="346"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2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(4,680,611)</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12,617,672</w:t>
            </w:r>
          </w:p>
        </w:tc>
      </w:tr>
      <w:tr>
        <w:trPr/>
        <w:tc>
          <w:tcPr>
            <w:tcW w:w="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w:t>
            </w:r>
          </w:p>
        </w:tc>
        <w:tc>
          <w:tcPr>
            <w:tcW w:w="62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9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Share-based compensation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16,185</w:t>
            </w:r>
          </w:p>
        </w:tc>
        <w:tc>
          <w:tcPr>
            <w:tcW w:w="346"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pPr>
            <w:r>
              <w:rPr/>
              <w:t>​</w:t>
            </w:r>
          </w:p>
        </w:tc>
        <w:tc>
          <w:tcPr>
            <w:tcW w:w="62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16,185</w:t>
            </w:r>
          </w:p>
        </w:tc>
      </w:tr>
      <w:tr>
        <w:trPr/>
        <w:tc>
          <w:tcPr>
            <w:tcW w:w="946"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loss from continuing operations for the period</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w:t>
            </w:r>
          </w:p>
        </w:tc>
        <w:tc>
          <w:tcPr>
            <w:tcW w:w="62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(753,909)</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(753,909)</w:t>
            </w:r>
          </w:p>
        </w:tc>
      </w:tr>
      <w:tr>
        <w:trPr/>
        <w:tc>
          <w:tcPr>
            <w:tcW w:w="9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946" w:type="dxa"/>
            <w:tcBorders/>
            <w:vAlign w:val="center"/>
          </w:tcPr>
          <w:p>
            <w:pPr>
              <w:pStyle w:val="TableContents"/>
              <w:pBdr/>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Balance, March 31, 2025*</w:t>
            </w:r>
          </w:p>
        </w:tc>
        <w:tc>
          <w:tcPr>
            <w:tcW w:w="346" w:type="dxa"/>
            <w:tcBorders/>
            <w:vAlign w:val="center"/>
          </w:tcPr>
          <w:p>
            <w:pPr>
              <w:pStyle w:val="TableContents"/>
              <w:bidi w:val="0"/>
              <w:spacing w:before="0" w:after="0"/>
              <w:ind w:left="0" w:right="0" w:hanging="0"/>
              <w:jc w:val="left"/>
              <w:rPr/>
            </w:pPr>
            <w:r>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13,361</w:t>
            </w:r>
          </w:p>
        </w:tc>
        <w:tc>
          <w:tcPr>
            <w:tcW w:w="346"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41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w:t>
            </w:r>
          </w:p>
        </w:tc>
        <w:tc>
          <w:tcPr>
            <w:tcW w:w="346" w:type="dxa"/>
            <w:tcBorders/>
            <w:vAlign w:val="center"/>
          </w:tcPr>
          <w:p>
            <w:pPr>
              <w:pStyle w:val="TableContents"/>
              <w:bidi w:val="0"/>
              <w:spacing w:before="0" w:after="0"/>
              <w:ind w:left="0" w:right="0" w:hanging="0"/>
              <w:jc w:val="left"/>
              <w:rPr/>
            </w:pPr>
            <w:r>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2,735</w:t>
            </w:r>
          </w:p>
        </w:tc>
        <w:tc>
          <w:tcPr>
            <w:tcW w:w="346"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415"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17,314,467</w:t>
            </w:r>
          </w:p>
        </w:tc>
        <w:tc>
          <w:tcPr>
            <w:tcW w:w="346" w:type="dxa"/>
            <w:tcBorders/>
            <w:vAlign w:val="center"/>
          </w:tcPr>
          <w:p>
            <w:pPr>
              <w:pStyle w:val="TableContents"/>
              <w:bidi w:val="0"/>
              <w:spacing w:before="0" w:after="0"/>
              <w:ind w:left="0" w:right="0" w:hanging="0"/>
              <w:jc w:val="left"/>
              <w:rPr/>
            </w:pPr>
            <w:r>
              <w:rPr/>
              <w:t>​</w:t>
            </w:r>
          </w:p>
        </w:tc>
        <w:tc>
          <w:tcPr>
            <w:tcW w:w="32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622"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(5,434,520)</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11,879,948</w:t>
            </w:r>
          </w:p>
        </w:tc>
      </w:tr>
      <w:tr>
        <w:trPr/>
        <w:tc>
          <w:tcPr>
            <w:tcW w:w="946" w:type="dxa"/>
            <w:tcBorders/>
            <w:shd w:fill="CCEEFF" w:val="clear"/>
            <w:vAlign w:val="center"/>
          </w:tcPr>
          <w:p>
            <w:pPr>
              <w:pStyle w:val="TableContents"/>
              <w:bidi w:val="0"/>
              <w:spacing w:before="0" w:after="0"/>
              <w:ind w:left="0" w:right="0" w:hanging="0"/>
              <w:jc w:val="left"/>
              <w:rPr>
                <w:color w:val="212529"/>
              </w:rPr>
            </w:pPr>
            <w:r>
              <w:rPr>
                <w:color w:val="212529"/>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pPr>
            <w:r>
              <w:rPr/>
              <w:t>​</w:t>
            </w:r>
          </w:p>
        </w:tc>
        <w:tc>
          <w:tcPr>
            <w:tcW w:w="62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946" w:type="dxa"/>
            <w:tcBorders/>
            <w:vAlign w:val="center"/>
          </w:tcPr>
          <w:p>
            <w:pPr>
              <w:pStyle w:val="TableContents"/>
              <w:bidi w:val="0"/>
              <w:spacing w:before="0" w:after="0"/>
              <w:ind w:left="0" w:right="0" w:hanging="0"/>
              <w:jc w:val="left"/>
              <w:rPr>
                <w:color w:val="212529"/>
              </w:rPr>
            </w:pPr>
            <w:r>
              <w:rPr>
                <w:color w:val="212529"/>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w:t>
            </w:r>
          </w:p>
        </w:tc>
        <w:tc>
          <w:tcPr>
            <w:tcW w:w="62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946" w:type="dxa"/>
            <w:tcBorders/>
            <w:shd w:fill="CCEEFF" w:val="clear"/>
            <w:vAlign w:val="center"/>
          </w:tcPr>
          <w:p>
            <w:pPr>
              <w:pStyle w:val="TableContents"/>
              <w:pBdr/>
              <w:bidi w:val="0"/>
              <w:spacing w:before="0" w:after="0"/>
              <w:ind w:left="0" w:right="0" w:hanging="0"/>
              <w:jc w:val="left"/>
              <w:rPr>
                <w:rFonts w:ascii="Times New Roman;Times;serif" w:hAnsi="Times New Roman;Times;serif"/>
                <w:color w:val="212529"/>
                <w:sz w:val="15"/>
              </w:rPr>
            </w:pPr>
            <w:r>
              <w:rPr>
                <w:rFonts w:ascii="Times New Roman;Times;serif" w:hAnsi="Times New Roman;Times;serif"/>
                <w:color w:val="212529"/>
                <w:sz w:val="15"/>
              </w:rPr>
              <w:t>Share-based compensation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10,444</w:t>
            </w:r>
          </w:p>
        </w:tc>
        <w:tc>
          <w:tcPr>
            <w:tcW w:w="346"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pPr>
            <w:r>
              <w:rPr/>
              <w:t>​</w:t>
            </w:r>
          </w:p>
        </w:tc>
        <w:tc>
          <w:tcPr>
            <w:tcW w:w="62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10,444</w:t>
            </w:r>
          </w:p>
        </w:tc>
      </w:tr>
      <w:tr>
        <w:trPr/>
        <w:tc>
          <w:tcPr>
            <w:tcW w:w="946" w:type="dxa"/>
            <w:tcBorders/>
            <w:vAlign w:val="center"/>
          </w:tcPr>
          <w:p>
            <w:pPr>
              <w:pStyle w:val="TableContents"/>
              <w:pBdr/>
              <w:bidi w:val="0"/>
              <w:spacing w:before="0" w:after="0"/>
              <w:ind w:left="0" w:right="0" w:hanging="0"/>
              <w:jc w:val="left"/>
              <w:rPr>
                <w:rFonts w:ascii="Times New Roman;Times;serif" w:hAnsi="Times New Roman;Times;serif"/>
                <w:color w:val="212529"/>
                <w:sz w:val="15"/>
              </w:rPr>
            </w:pPr>
            <w:r>
              <w:rPr>
                <w:rFonts w:ascii="Times New Roman;Times;serif" w:hAnsi="Times New Roman;Times;serif"/>
                <w:color w:val="212529"/>
                <w:sz w:val="15"/>
              </w:rPr>
              <w:t>Net loss from continuing operations for the period</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w:t>
            </w:r>
          </w:p>
        </w:tc>
        <w:tc>
          <w:tcPr>
            <w:tcW w:w="62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(512,528)</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(512,528)</w:t>
            </w:r>
          </w:p>
        </w:tc>
      </w:tr>
      <w:tr>
        <w:trPr/>
        <w:tc>
          <w:tcPr>
            <w:tcW w:w="946" w:type="dxa"/>
            <w:tcBorders/>
            <w:shd w:fill="CCEEFF" w:val="clear"/>
            <w:vAlign w:val="center"/>
          </w:tcPr>
          <w:p>
            <w:pPr>
              <w:pStyle w:val="TableContents"/>
              <w:bidi w:val="0"/>
              <w:spacing w:before="0" w:after="0"/>
              <w:ind w:left="0" w:right="0" w:hanging="0"/>
              <w:jc w:val="left"/>
              <w:rPr>
                <w:color w:val="212529"/>
              </w:rPr>
            </w:pPr>
            <w:r>
              <w:rPr>
                <w:color w:val="212529"/>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946" w:type="dxa"/>
            <w:tcBorders/>
            <w:vAlign w:val="center"/>
          </w:tcPr>
          <w:p>
            <w:pPr>
              <w:pStyle w:val="TableContents"/>
              <w:pBdr/>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Balance, June 30, 2025*</w:t>
            </w:r>
          </w:p>
        </w:tc>
        <w:tc>
          <w:tcPr>
            <w:tcW w:w="346" w:type="dxa"/>
            <w:tcBorders/>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13,361</w:t>
            </w:r>
          </w:p>
        </w:tc>
        <w:tc>
          <w:tcPr>
            <w:tcW w:w="346"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41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w:t>
            </w:r>
          </w:p>
        </w:tc>
        <w:tc>
          <w:tcPr>
            <w:tcW w:w="346" w:type="dxa"/>
            <w:tcBorders/>
            <w:vAlign w:val="center"/>
          </w:tcPr>
          <w:p>
            <w:pPr>
              <w:pStyle w:val="TableContents"/>
              <w:bidi w:val="0"/>
              <w:spacing w:before="0" w:after="0"/>
              <w:ind w:left="0" w:right="0" w:hanging="0"/>
              <w:jc w:val="left"/>
              <w:rPr/>
            </w:pPr>
            <w:r>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2,735</w:t>
            </w:r>
          </w:p>
        </w:tc>
        <w:tc>
          <w:tcPr>
            <w:tcW w:w="346"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415"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17,324,911</w:t>
            </w:r>
          </w:p>
        </w:tc>
        <w:tc>
          <w:tcPr>
            <w:tcW w:w="346" w:type="dxa"/>
            <w:tcBorders/>
            <w:vAlign w:val="center"/>
          </w:tcPr>
          <w:p>
            <w:pPr>
              <w:pStyle w:val="TableContents"/>
              <w:bidi w:val="0"/>
              <w:spacing w:before="0" w:after="0"/>
              <w:ind w:left="0" w:right="0" w:hanging="0"/>
              <w:jc w:val="left"/>
              <w:rPr/>
            </w:pPr>
            <w:r>
              <w:rPr/>
              <w:t>​</w:t>
            </w:r>
          </w:p>
        </w:tc>
        <w:tc>
          <w:tcPr>
            <w:tcW w:w="32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622"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(5,947,048)</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886" w:type="dxa"/>
            <w:tcBorders>
              <w:bottom w:val="double" w:sz="6" w:space="0" w:color="000000"/>
            </w:tcBorders>
            <w:tcMar>
              <w:bottom w:w="28" w:type="dxa"/>
            </w:tcMar>
            <w:vAlign w:val="center"/>
          </w:tcPr>
          <w:p>
            <w:pPr>
              <w:pStyle w:val="TableContents"/>
              <w:bidi w:val="0"/>
              <w:spacing w:before="0" w:after="0"/>
              <w:ind w:left="0" w:right="45" w:hanging="0"/>
              <w:jc w:val="right"/>
              <w:rPr>
                <w:rFonts w:ascii="Times New Roman;Times;serif" w:hAnsi="Times New Roman;Times;serif"/>
                <w:b/>
                <w:sz w:val="15"/>
              </w:rPr>
            </w:pPr>
            <w:r>
              <w:rPr>
                <w:rFonts w:ascii="Times New Roman;Times;serif" w:hAnsi="Times New Roman;Times;serif"/>
                <w:b/>
                <w:sz w:val="15"/>
              </w:rPr>
              <w:t>11,377,864</w:t>
            </w:r>
          </w:p>
        </w:tc>
      </w:tr>
    </w:tbl>
    <w:p>
      <w:pPr>
        <w:pStyle w:val="TextBody"/>
        <w:bidi w:val="0"/>
        <w:spacing w:before="0" w:after="240"/>
        <w:ind w:left="0" w:right="0" w:hanging="0"/>
        <w:jc w:val="both"/>
        <w:rPr>
          <w:rFonts w:ascii="Times New Roman;Times;serif" w:hAnsi="Times New Roman;Times;serif"/>
          <w:sz w:val="20"/>
        </w:rPr>
      </w:pPr>
      <w:bookmarkStart w:id="631" w:name="_42f9516a_56b2_4c01_ba92_383a9699f6d8"/>
      <w:bookmarkStart w:id="632" w:name="_5b94947c_929f_4185_9b6b_5a7100ac450f"/>
      <w:bookmarkEnd w:id="631"/>
      <w:bookmarkEnd w:id="632"/>
      <w:r>
        <w:rPr>
          <w:rFonts w:ascii="Times New Roman;Times;serif" w:hAnsi="Times New Roman;Times;serif"/>
          <w:sz w:val="20"/>
        </w:rPr>
        <w:t>* Retrospectively restated for effect of the Company’s amended and restated articles of incorporation and bylaws and the reverse split took effect on April 29, 2026. See also Note 15.</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The accompanying notes are an integral part of these unaudited condensed consolidated financial statements.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633" w:name="_707236a7_8113_40f2_85ef_202981866401"/>
      <w:bookmarkEnd w:id="633"/>
      <w:r>
        <w:rPr>
          <w:rFonts w:ascii="Times New Roman;Times;serif" w:hAnsi="Times New Roman;Times;serif"/>
          <w:b/>
          <w:sz w:val="20"/>
        </w:rPr>
        <w:t>CHEETAH NET SUPPLY CHAIN SERVICE INC.</w:t>
      </w:r>
    </w:p>
    <w:p>
      <w:pPr>
        <w:pStyle w:val="TextBody"/>
        <w:bidi w:val="0"/>
        <w:spacing w:before="0" w:after="0"/>
        <w:ind w:left="0" w:right="0" w:hanging="0"/>
        <w:jc w:val="center"/>
        <w:rPr>
          <w:rFonts w:ascii="Times New Roman;Times;serif" w:hAnsi="Times New Roman;Times;serif"/>
          <w:b/>
          <w:sz w:val="20"/>
        </w:rPr>
      </w:pPr>
      <w:bookmarkStart w:id="634" w:name="STATEMENTSOFCASHFLOWS_989400"/>
      <w:bookmarkEnd w:id="634"/>
      <w:r>
        <w:rPr>
          <w:rFonts w:ascii="Times New Roman;Times;serif" w:hAnsi="Times New Roman;Times;serif"/>
          <w:b/>
          <w:sz w:val="20"/>
        </w:rPr>
        <w:t>CONSOLIDATED STATEMENTS OF CASH FLOWS</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635" w:name="Tc_SGjdS_wPG0yclxET2kctig_51_5"/>
      <w:bookmarkStart w:id="636" w:name="Tc_DYRUWGyfpku_vvJyy_UKTg_51_2"/>
      <w:bookmarkStart w:id="637" w:name="Tc_6wL3n-z-q0Kk4kswz8HFog_51_0"/>
      <w:bookmarkStart w:id="638" w:name="Tc_eikGLjFcBUybImivjgcRbA_50_5"/>
      <w:bookmarkStart w:id="639" w:name="Tc_FZe2_DT_Yk620Thl2TR8cQ_50_2"/>
      <w:bookmarkStart w:id="640" w:name="Tc_qE4WDzR6IEi1nw0PcHNiaw_50_0"/>
      <w:bookmarkStart w:id="641" w:name="Tc_mo4WsSBPRky67XgaNjT1XQ_49_0"/>
      <w:bookmarkStart w:id="642" w:name="Tc_ZfaiYcJgA0OdQm9kje31Vg_47_5"/>
      <w:bookmarkStart w:id="643" w:name="Tc_XotAU9Efv0ibj-V0ZnTHzQ_47_2"/>
      <w:bookmarkStart w:id="644" w:name="Tc_qJyzzhffpkyMXLiGi0vbzQ_47_0"/>
      <w:bookmarkStart w:id="645" w:name="Tc_Ocjtk3dG_kG7ZroXN2muPg_46_6"/>
      <w:bookmarkStart w:id="646" w:name="Tc_n4HCsf3Nm0CinS0yJNdzPg_46_3"/>
      <w:bookmarkStart w:id="647" w:name="Tc_WHHKpp75NU2AzOh7xDXSxw_46_0"/>
      <w:bookmarkStart w:id="648" w:name="Tc_GNGn4evvwEqde-DJppWT6w_45_0"/>
      <w:bookmarkStart w:id="649" w:name="Tc_ZDa9MeZ8C0CkZpHsuUPHdw_44_0"/>
      <w:bookmarkStart w:id="650" w:name="Tc_F2f0RbY9ZUqADuqMIh75bA_43_0"/>
      <w:bookmarkStart w:id="651" w:name="Tc_UPf6dNvg10CDOaShyKOd3A_41_0"/>
      <w:bookmarkStart w:id="652" w:name="Tc_hpX_41uzjUm3AMoHMOBT-A_40_0"/>
      <w:bookmarkStart w:id="653" w:name="Tc_hzt9RwBocEeS1tpbtxo8Rg_39_0"/>
      <w:bookmarkStart w:id="654" w:name="Tc_5IGvrybaG02r7gNLxUGLZg_38_0"/>
      <w:bookmarkStart w:id="655" w:name="Tc_HofSAc5xBkWqjLFtL20BpQ_37_6"/>
      <w:bookmarkStart w:id="656" w:name="Tc_MrwjhRKGVk6E_uetrfr93w_37_0"/>
      <w:bookmarkStart w:id="657" w:name="Tc_XhcUrr_vik-CgbI6q2gJAQ_36_6"/>
      <w:bookmarkStart w:id="658" w:name="Tc_GLeWGzxAMEujykxaYOMfLg_36_0"/>
      <w:bookmarkStart w:id="659" w:name="Tc_cDmG3_m6dEK7Vz1dk8NNFw_35_6"/>
      <w:bookmarkStart w:id="660" w:name="Tc_Vxh8CEhLVUWsGVKjmt04sQ_35_0"/>
      <w:bookmarkStart w:id="661" w:name="Tc__00z-5AuTU6lediws2LJtQ_34_0"/>
      <w:bookmarkStart w:id="662" w:name="Tc_Q_1_dKr8pEK9nEr-fM4BnA_32_0"/>
      <w:bookmarkStart w:id="663" w:name="Tc_Tbm2pPeoIESFw5wI6QvGxA_31_0"/>
      <w:bookmarkStart w:id="664" w:name="Tc_r-HKpn6SQka5CZeMT2uSiQ_30_0"/>
      <w:bookmarkStart w:id="665" w:name="Tc_e6BHmTXE6EiPgz3KK9XUnw_29_0"/>
      <w:bookmarkStart w:id="666" w:name="Tc_tGmh4CdlyEST-KtjYE_mIg_28_6"/>
      <w:bookmarkStart w:id="667" w:name="Tc_K03KHNRkMkuu6g3xB-tBGw_28_0"/>
      <w:bookmarkStart w:id="668" w:name="Tc_VifbmRwKuEWp0KfaC6c5Xg_27_6"/>
      <w:bookmarkStart w:id="669" w:name="Tc_KXQg2qlUn0CQdEKGwxPpOA_27_0"/>
      <w:bookmarkStart w:id="670" w:name="Tc_TREBjbUJh0WGDIkX2wOpjA_26_6"/>
      <w:bookmarkStart w:id="671" w:name="Tc_ATBHPHrTREaBBTKeAguIHQ_26_0"/>
      <w:bookmarkStart w:id="672" w:name="Tc_dz5A93vPVEWJ_1fYLQiP8A_25_0"/>
      <w:bookmarkStart w:id="673" w:name="Tc_udJBT5hI8ECIPq1zzBKTvQ_23_0"/>
      <w:bookmarkStart w:id="674" w:name="Tc_80r238X-mke6R_3xCCIV_w_22_0"/>
      <w:bookmarkStart w:id="675" w:name="Tc_FsYpbld_eUy5fgeEBDp2Cg_21_0"/>
      <w:bookmarkStart w:id="676" w:name="Tc_twuhdzrCu0yV2A7C79GVFg_20_0"/>
      <w:bookmarkStart w:id="677" w:name="Tc_oUkev8NkPkqMxmqsPC13rA_19_0"/>
      <w:bookmarkStart w:id="678" w:name="Tc_YYtskPuzRUaA4Ei0bW_GOw_18_6"/>
      <w:bookmarkStart w:id="679" w:name="Tc_NqmaYcl9KEC58EdsqvR9-g_18_0"/>
      <w:bookmarkStart w:id="680" w:name="Tc_46otWmTi3kOXJdTBJuySYA_17_0"/>
      <w:bookmarkStart w:id="681" w:name="Tc_Ij1_LJD8m0Wif6x6Uyv3Cg_16_6"/>
      <w:bookmarkStart w:id="682" w:name="Tc_Sfq4n2dVD0eE_xlh54LwrA_16_0"/>
      <w:bookmarkStart w:id="683" w:name="Tc_hbRCKFACxkK2OXv4hXm5KA_15_0"/>
      <w:bookmarkStart w:id="684" w:name="Tc_f8B5zZdaCU-gatYENinbmQ_14_0"/>
      <w:bookmarkStart w:id="685" w:name="Tc_lHCm88oVIUy9342SWWhXgw_13_0"/>
      <w:bookmarkStart w:id="686" w:name="Tc_nzPOG9_H0UOaTPaAyN0Epw_12_0"/>
      <w:bookmarkStart w:id="687" w:name="Tc_yTwTsQkr0U2YqGRyeGTD9g_11_0"/>
      <w:bookmarkStart w:id="688" w:name="Tc_xaYp7UTjFEa94nJQt5oNRw_10_0"/>
      <w:bookmarkStart w:id="689" w:name="Tc_iJ4EiQ7kpEmhUSBhUaSfFw_9_6"/>
      <w:bookmarkStart w:id="690" w:name="Tc_eYatbX6kD0q3r-wl3kP-qA_9_0"/>
      <w:bookmarkStart w:id="691" w:name="Tc_0JdQICyIj0iXdrDgyvwLOA_8_0"/>
      <w:bookmarkStart w:id="692" w:name="Tc_KHXemXG3-UGn3QO4nx5tQA_7_0"/>
      <w:bookmarkStart w:id="693" w:name="Tc_8-rnxfmQz0uOHS7fiH2EgA_6_5"/>
      <w:bookmarkStart w:id="694" w:name="Tc_MQCWsTsatUqhu-_XieNl1Q_6_2"/>
      <w:bookmarkStart w:id="695" w:name="Tc_k3Jq8_51RUqxUWV8NjQOFg_6_0"/>
      <w:bookmarkStart w:id="696" w:name="Tc_lBVOIsGWgUGawn4yGYQ9Fg_5_0"/>
      <w:bookmarkStart w:id="697" w:name="Tc_gZOOhgtxk0OS9HsUlOQdJw_4_5"/>
      <w:bookmarkStart w:id="698" w:name="Tc_6WqPxbNmgkaRYlXG950YEw_4_2"/>
      <w:bookmarkStart w:id="699" w:name="Tc_kAwKNodp-kK-ZV01ZUpLDw_3_5"/>
      <w:bookmarkStart w:id="700" w:name="Tc_6ApioihZkE-a7-O4SJfXcw_3_2"/>
      <w:bookmarkStart w:id="701" w:name="Tc_xhOa05bN_kG6jYOZ5-QVTw_2_2"/>
      <w:bookmarkStart w:id="702" w:name="Tc_I2uFmUquKEGgSmYUzx7hxg_1_2"/>
      <w:bookmarkStart w:id="703" w:name="_99a555b3_435c_4b38_81df_f50b42842e7f"/>
      <w:bookmarkStart w:id="704" w:name="Tc_SGjdS_wPG0yclxET2kctig_51_5"/>
      <w:bookmarkStart w:id="705" w:name="Tc_DYRUWGyfpku_vvJyy_UKTg_51_2"/>
      <w:bookmarkStart w:id="706" w:name="Tc_6wL3n-z-q0Kk4kswz8HFog_51_0"/>
      <w:bookmarkStart w:id="707" w:name="Tc_eikGLjFcBUybImivjgcRbA_50_5"/>
      <w:bookmarkStart w:id="708" w:name="Tc_FZe2_DT_Yk620Thl2TR8cQ_50_2"/>
      <w:bookmarkStart w:id="709" w:name="Tc_qE4WDzR6IEi1nw0PcHNiaw_50_0"/>
      <w:bookmarkStart w:id="710" w:name="Tc_mo4WsSBPRky67XgaNjT1XQ_49_0"/>
      <w:bookmarkStart w:id="711" w:name="Tc_ZfaiYcJgA0OdQm9kje31Vg_47_5"/>
      <w:bookmarkStart w:id="712" w:name="Tc_XotAU9Efv0ibj-V0ZnTHzQ_47_2"/>
      <w:bookmarkStart w:id="713" w:name="Tc_qJyzzhffpkyMXLiGi0vbzQ_47_0"/>
      <w:bookmarkStart w:id="714" w:name="Tc_Ocjtk3dG_kG7ZroXN2muPg_46_6"/>
      <w:bookmarkStart w:id="715" w:name="Tc_n4HCsf3Nm0CinS0yJNdzPg_46_3"/>
      <w:bookmarkStart w:id="716" w:name="Tc_WHHKpp75NU2AzOh7xDXSxw_46_0"/>
      <w:bookmarkStart w:id="717" w:name="Tc_GNGn4evvwEqde-DJppWT6w_45_0"/>
      <w:bookmarkStart w:id="718" w:name="Tc_ZDa9MeZ8C0CkZpHsuUPHdw_44_0"/>
      <w:bookmarkStart w:id="719" w:name="Tc_F2f0RbY9ZUqADuqMIh75bA_43_0"/>
      <w:bookmarkStart w:id="720" w:name="Tc_UPf6dNvg10CDOaShyKOd3A_41_0"/>
      <w:bookmarkStart w:id="721" w:name="Tc_hpX_41uzjUm3AMoHMOBT-A_40_0"/>
      <w:bookmarkStart w:id="722" w:name="Tc_hzt9RwBocEeS1tpbtxo8Rg_39_0"/>
      <w:bookmarkStart w:id="723" w:name="Tc_5IGvrybaG02r7gNLxUGLZg_38_0"/>
      <w:bookmarkStart w:id="724" w:name="Tc_HofSAc5xBkWqjLFtL20BpQ_37_6"/>
      <w:bookmarkStart w:id="725" w:name="Tc_MrwjhRKGVk6E_uetrfr93w_37_0"/>
      <w:bookmarkStart w:id="726" w:name="Tc_XhcUrr_vik-CgbI6q2gJAQ_36_6"/>
      <w:bookmarkStart w:id="727" w:name="Tc_GLeWGzxAMEujykxaYOMfLg_36_0"/>
      <w:bookmarkStart w:id="728" w:name="Tc_cDmG3_m6dEK7Vz1dk8NNFw_35_6"/>
      <w:bookmarkStart w:id="729" w:name="Tc_Vxh8CEhLVUWsGVKjmt04sQ_35_0"/>
      <w:bookmarkStart w:id="730" w:name="Tc__00z-5AuTU6lediws2LJtQ_34_0"/>
      <w:bookmarkStart w:id="731" w:name="Tc_Q_1_dKr8pEK9nEr-fM4BnA_32_0"/>
      <w:bookmarkStart w:id="732" w:name="Tc_Tbm2pPeoIESFw5wI6QvGxA_31_0"/>
      <w:bookmarkStart w:id="733" w:name="Tc_r-HKpn6SQka5CZeMT2uSiQ_30_0"/>
      <w:bookmarkStart w:id="734" w:name="Tc_e6BHmTXE6EiPgz3KK9XUnw_29_0"/>
      <w:bookmarkStart w:id="735" w:name="Tc_tGmh4CdlyEST-KtjYE_mIg_28_6"/>
      <w:bookmarkStart w:id="736" w:name="Tc_K03KHNRkMkuu6g3xB-tBGw_28_0"/>
      <w:bookmarkStart w:id="737" w:name="Tc_VifbmRwKuEWp0KfaC6c5Xg_27_6"/>
      <w:bookmarkStart w:id="738" w:name="Tc_KXQg2qlUn0CQdEKGwxPpOA_27_0"/>
      <w:bookmarkStart w:id="739" w:name="Tc_TREBjbUJh0WGDIkX2wOpjA_26_6"/>
      <w:bookmarkStart w:id="740" w:name="Tc_ATBHPHrTREaBBTKeAguIHQ_26_0"/>
      <w:bookmarkStart w:id="741" w:name="Tc_dz5A93vPVEWJ_1fYLQiP8A_25_0"/>
      <w:bookmarkStart w:id="742" w:name="Tc_udJBT5hI8ECIPq1zzBKTvQ_23_0"/>
      <w:bookmarkStart w:id="743" w:name="Tc_80r238X-mke6R_3xCCIV_w_22_0"/>
      <w:bookmarkStart w:id="744" w:name="Tc_FsYpbld_eUy5fgeEBDp2Cg_21_0"/>
      <w:bookmarkStart w:id="745" w:name="Tc_twuhdzrCu0yV2A7C79GVFg_20_0"/>
      <w:bookmarkStart w:id="746" w:name="Tc_oUkev8NkPkqMxmqsPC13rA_19_0"/>
      <w:bookmarkStart w:id="747" w:name="Tc_YYtskPuzRUaA4Ei0bW_GOw_18_6"/>
      <w:bookmarkStart w:id="748" w:name="Tc_NqmaYcl9KEC58EdsqvR9-g_18_0"/>
      <w:bookmarkStart w:id="749" w:name="Tc_46otWmTi3kOXJdTBJuySYA_17_0"/>
      <w:bookmarkStart w:id="750" w:name="Tc_Ij1_LJD8m0Wif6x6Uyv3Cg_16_6"/>
      <w:bookmarkStart w:id="751" w:name="Tc_Sfq4n2dVD0eE_xlh54LwrA_16_0"/>
      <w:bookmarkStart w:id="752" w:name="Tc_hbRCKFACxkK2OXv4hXm5KA_15_0"/>
      <w:bookmarkStart w:id="753" w:name="Tc_f8B5zZdaCU-gatYENinbmQ_14_0"/>
      <w:bookmarkStart w:id="754" w:name="Tc_lHCm88oVIUy9342SWWhXgw_13_0"/>
      <w:bookmarkStart w:id="755" w:name="Tc_nzPOG9_H0UOaTPaAyN0Epw_12_0"/>
      <w:bookmarkStart w:id="756" w:name="Tc_yTwTsQkr0U2YqGRyeGTD9g_11_0"/>
      <w:bookmarkStart w:id="757" w:name="Tc_xaYp7UTjFEa94nJQt5oNRw_10_0"/>
      <w:bookmarkStart w:id="758" w:name="Tc_iJ4EiQ7kpEmhUSBhUaSfFw_9_6"/>
      <w:bookmarkStart w:id="759" w:name="Tc_eYatbX6kD0q3r-wl3kP-qA_9_0"/>
      <w:bookmarkStart w:id="760" w:name="Tc_0JdQICyIj0iXdrDgyvwLOA_8_0"/>
      <w:bookmarkStart w:id="761" w:name="Tc_KHXemXG3-UGn3QO4nx5tQA_7_0"/>
      <w:bookmarkStart w:id="762" w:name="Tc_8-rnxfmQz0uOHS7fiH2EgA_6_5"/>
      <w:bookmarkStart w:id="763" w:name="Tc_MQCWsTsatUqhu-_XieNl1Q_6_2"/>
      <w:bookmarkStart w:id="764" w:name="Tc_k3Jq8_51RUqxUWV8NjQOFg_6_0"/>
      <w:bookmarkStart w:id="765" w:name="Tc_lBVOIsGWgUGawn4yGYQ9Fg_5_0"/>
      <w:bookmarkStart w:id="766" w:name="Tc_gZOOhgtxk0OS9HsUlOQdJw_4_5"/>
      <w:bookmarkStart w:id="767" w:name="Tc_6WqPxbNmgkaRYlXG950YEw_4_2"/>
      <w:bookmarkStart w:id="768" w:name="Tc_kAwKNodp-kK-ZV01ZUpLDw_3_5"/>
      <w:bookmarkStart w:id="769" w:name="Tc_6ApioihZkE-a7-O4SJfXcw_3_2"/>
      <w:bookmarkStart w:id="770" w:name="Tc_xhOa05bN_kG6jYOZ5-QVTw_2_2"/>
      <w:bookmarkStart w:id="771" w:name="Tc_I2uFmUquKEGgSmYUzx7hxg_1_2"/>
      <w:bookmarkStart w:id="772" w:name="_99a555b3_435c_4b38_81df_f50b42842e7f"/>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p>
    <w:tbl>
      <w:tblPr>
        <w:tblW w:w="9082" w:type="dxa"/>
        <w:jc w:val="left"/>
        <w:tblInd w:w="0" w:type="dxa"/>
        <w:tblLayout w:type="fixed"/>
        <w:tblCellMar>
          <w:top w:w="0" w:type="dxa"/>
          <w:left w:w="0" w:type="dxa"/>
          <w:bottom w:w="0" w:type="dxa"/>
          <w:right w:w="0" w:type="dxa"/>
        </w:tblCellMar>
      </w:tblPr>
      <w:tblGrid>
        <w:gridCol w:w="5971"/>
        <w:gridCol w:w="346"/>
        <w:gridCol w:w="196"/>
        <w:gridCol w:w="1036"/>
        <w:gridCol w:w="346"/>
        <w:gridCol w:w="196"/>
        <w:gridCol w:w="991"/>
      </w:tblGrid>
      <w:tr>
        <w:trPr/>
        <w:tc>
          <w:tcPr>
            <w:tcW w:w="5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3791585" cy="175260"/>
                      <wp:effectExtent l="0" t="0" r="0" b="0"/>
                      <wp:wrapNone/>
                      <wp:docPr id="74" name="Frame74"/>
                      <a:graphic xmlns:a="http://schemas.openxmlformats.org/drawingml/2006/main">
                        <a:graphicData uri="http://schemas.microsoft.com/office/word/2010/wordprocessingShape">
                          <wps:wsp>
                            <wps:cNvSpPr txBox="1"/>
                            <wps:spPr>
                              <a:xfrm>
                                <a:off x="0" y="0"/>
                                <a:ext cx="3791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19710" cy="175260"/>
                      <wp:effectExtent l="0" t="0" r="0" b="0"/>
                      <wp:wrapNone/>
                      <wp:docPr id="75" name="Frame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24460" cy="175260"/>
                      <wp:effectExtent l="0" t="0" r="0" b="0"/>
                      <wp:wrapNone/>
                      <wp:docPr id="76" name="Frame7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57860" cy="175260"/>
                      <wp:effectExtent l="0" t="0" r="0" b="0"/>
                      <wp:wrapNone/>
                      <wp:docPr id="77" name="Frame7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9710" cy="175260"/>
                      <wp:effectExtent l="0" t="0" r="0" b="0"/>
                      <wp:wrapNone/>
                      <wp:docPr id="78" name="Frame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24460" cy="175260"/>
                      <wp:effectExtent l="0" t="0" r="0" b="0"/>
                      <wp:wrapNone/>
                      <wp:docPr id="79" name="Frame7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29285" cy="175260"/>
                      <wp:effectExtent l="0" t="0" r="0" b="0"/>
                      <wp:wrapNone/>
                      <wp:docPr id="80" name="Frame80"/>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9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76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59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76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9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w:t>
            </w:r>
          </w:p>
        </w:tc>
        <w:tc>
          <w:tcPr>
            <w:tcW w:w="11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9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2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1"/>
              <w:ind w:left="0" w:right="0" w:hanging="0"/>
              <w:jc w:val="center"/>
              <w:rPr/>
            </w:pPr>
            <w:r>
              <w:rPr/>
              <w:t>  ​ ​ ​</w:t>
            </w:r>
          </w:p>
        </w:tc>
        <w:tc>
          <w:tcPr>
            <w:tcW w:w="11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597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Cash flows from operating activities:</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  ​</w:t>
            </w:r>
          </w:p>
        </w:tc>
      </w:tr>
      <w:tr>
        <w:trPr/>
        <w:tc>
          <w:tcPr>
            <w:tcW w:w="5971" w:type="dxa"/>
            <w:tcBorders/>
            <w:vAlign w:val="center"/>
          </w:tcPr>
          <w:p>
            <w:pPr>
              <w:pStyle w:val="TableContents"/>
              <w:pBdr/>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Net Loss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b/>
                <w:sz w:val="17"/>
              </w:rPr>
            </w:pPr>
            <w:r>
              <w:rPr>
                <w:rFonts w:ascii="Times New Roman;Times;serif" w:hAnsi="Times New Roman;Times;serif"/>
                <w:b/>
                <w:sz w:val="17"/>
              </w:rPr>
              <w:t>(545,220)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b/>
                <w:sz w:val="17"/>
              </w:rPr>
            </w:pPr>
            <w:r>
              <w:rPr>
                <w:rFonts w:ascii="Times New Roman;Times;serif" w:hAnsi="Times New Roman;Times;serif"/>
                <w:b/>
                <w:sz w:val="17"/>
              </w:rPr>
              <w:t>(1,266,437)</w:t>
            </w:r>
          </w:p>
        </w:tc>
      </w:tr>
      <w:tr>
        <w:trPr/>
        <w:tc>
          <w:tcPr>
            <w:tcW w:w="597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Adjustments to reconcile net income to net cash provided by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r>
      <w:tr>
        <w:trPr/>
        <w:tc>
          <w:tcPr>
            <w:tcW w:w="5971" w:type="dxa"/>
            <w:tcBorders/>
            <w:vAlign w:val="center"/>
          </w:tcPr>
          <w:p>
            <w:pPr>
              <w:pStyle w:val="TableContents"/>
              <w:pBdr/>
              <w:bidi w:val="0"/>
              <w:spacing w:before="0" w:after="1"/>
              <w:ind w:left="0" w:right="0" w:hanging="0"/>
              <w:jc w:val="left"/>
              <w:rPr>
                <w:rFonts w:ascii="Times New Roman;Times;serif" w:hAnsi="Times New Roman;Times;serif"/>
                <w:sz w:val="17"/>
              </w:rPr>
            </w:pPr>
            <w:r>
              <w:rPr>
                <w:rFonts w:ascii="Times New Roman;Times;serif" w:hAnsi="Times New Roman;Times;serif"/>
                <w:sz w:val="17"/>
              </w:rPr>
              <w:t xml:space="preserve">Depreciation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16,507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19,764</w:t>
            </w:r>
          </w:p>
        </w:tc>
      </w:tr>
      <w:tr>
        <w:trPr/>
        <w:tc>
          <w:tcPr>
            <w:tcW w:w="597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7"/>
              </w:rPr>
            </w:pPr>
            <w:r>
              <w:rPr>
                <w:rFonts w:ascii="Times New Roman;Times;serif" w:hAnsi="Times New Roman;Times;serif"/>
                <w:sz w:val="17"/>
              </w:rPr>
              <w:t>Loss on disposal of Edward</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297,610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r>
      <w:tr>
        <w:trPr/>
        <w:tc>
          <w:tcPr>
            <w:tcW w:w="5971" w:type="dxa"/>
            <w:tcBorders/>
            <w:vAlign w:val="center"/>
          </w:tcPr>
          <w:p>
            <w:pPr>
              <w:pStyle w:val="TableContents"/>
              <w:pBdr/>
              <w:bidi w:val="0"/>
              <w:spacing w:before="0" w:after="1"/>
              <w:ind w:left="0" w:right="0" w:hanging="0"/>
              <w:jc w:val="left"/>
              <w:rPr>
                <w:rFonts w:ascii="Times New Roman;Times;serif" w:hAnsi="Times New Roman;Times;serif"/>
                <w:sz w:val="17"/>
              </w:rPr>
            </w:pPr>
            <w:r>
              <w:rPr>
                <w:rFonts w:ascii="Times New Roman;Times;serif" w:hAnsi="Times New Roman;Times;serif"/>
                <w:sz w:val="17"/>
              </w:rPr>
              <w:t>Amortization of operating lease right-of-use assets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254,432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161,875</w:t>
            </w:r>
          </w:p>
        </w:tc>
      </w:tr>
      <w:tr>
        <w:trPr/>
        <w:tc>
          <w:tcPr>
            <w:tcW w:w="597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7"/>
              </w:rPr>
            </w:pPr>
            <w:r>
              <w:rPr>
                <w:rFonts w:ascii="Times New Roman;Times;serif" w:hAnsi="Times New Roman;Times;serif"/>
                <w:sz w:val="17"/>
              </w:rPr>
              <w:t>Amortization of intangible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38,511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56,144</w:t>
            </w:r>
          </w:p>
        </w:tc>
      </w:tr>
      <w:tr>
        <w:trPr/>
        <w:tc>
          <w:tcPr>
            <w:tcW w:w="5971" w:type="dxa"/>
            <w:tcBorders/>
            <w:vAlign w:val="center"/>
          </w:tcPr>
          <w:p>
            <w:pPr>
              <w:pStyle w:val="TableContents"/>
              <w:pBdr/>
              <w:bidi w:val="0"/>
              <w:spacing w:before="0" w:after="1"/>
              <w:ind w:left="0" w:right="0" w:hanging="0"/>
              <w:jc w:val="left"/>
              <w:rPr>
                <w:rFonts w:ascii="Times New Roman;Times;serif" w:hAnsi="Times New Roman;Times;serif"/>
                <w:sz w:val="17"/>
              </w:rPr>
            </w:pPr>
            <w:r>
              <w:rPr>
                <w:rFonts w:ascii="Times New Roman;Times;serif" w:hAnsi="Times New Roman;Times;serif"/>
                <w:sz w:val="17"/>
              </w:rPr>
              <w:t>Share-based compensation expenses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28,364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26,629</w:t>
            </w:r>
          </w:p>
        </w:tc>
      </w:tr>
      <w:tr>
        <w:trPr/>
        <w:tc>
          <w:tcPr>
            <w:tcW w:w="597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Changes in operating assets and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r>
      <w:tr>
        <w:trPr/>
        <w:tc>
          <w:tcPr>
            <w:tcW w:w="5971" w:type="dxa"/>
            <w:tcBorders/>
            <w:vAlign w:val="center"/>
          </w:tcPr>
          <w:p>
            <w:pPr>
              <w:pStyle w:val="TableContents"/>
              <w:pBdr/>
              <w:bidi w:val="0"/>
              <w:spacing w:before="0" w:after="1"/>
              <w:ind w:left="0" w:right="0" w:hanging="0"/>
              <w:jc w:val="left"/>
              <w:rPr>
                <w:rFonts w:ascii="Times New Roman;Times;serif" w:hAnsi="Times New Roman;Times;serif"/>
                <w:sz w:val="17"/>
              </w:rPr>
            </w:pPr>
            <w:r>
              <w:rPr>
                <w:rFonts w:ascii="Times New Roman;Times;serif" w:hAnsi="Times New Roman;Times;serif"/>
                <w:sz w:val="17"/>
              </w:rPr>
              <w:t>Accounts receivable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109,768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28,326</w:t>
            </w:r>
          </w:p>
        </w:tc>
      </w:tr>
      <w:tr>
        <w:trPr/>
        <w:tc>
          <w:tcPr>
            <w:tcW w:w="597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7"/>
              </w:rPr>
            </w:pPr>
            <w:r>
              <w:rPr>
                <w:rFonts w:ascii="Times New Roman;Times;serif" w:hAnsi="Times New Roman;Times;serif"/>
                <w:sz w:val="17"/>
              </w:rPr>
              <w:t>Other receivables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196,604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(472,883)</w:t>
            </w:r>
          </w:p>
        </w:tc>
      </w:tr>
      <w:tr>
        <w:trPr/>
        <w:tc>
          <w:tcPr>
            <w:tcW w:w="5971" w:type="dxa"/>
            <w:tcBorders/>
            <w:vAlign w:val="center"/>
          </w:tcPr>
          <w:p>
            <w:pPr>
              <w:pStyle w:val="TableContents"/>
              <w:pBdr/>
              <w:bidi w:val="0"/>
              <w:spacing w:before="0" w:after="1"/>
              <w:ind w:left="0" w:right="0" w:hanging="0"/>
              <w:jc w:val="left"/>
              <w:rPr>
                <w:rFonts w:ascii="Times New Roman;Times;serif" w:hAnsi="Times New Roman;Times;serif"/>
                <w:sz w:val="17"/>
              </w:rPr>
            </w:pPr>
            <w:r>
              <w:rPr>
                <w:rFonts w:ascii="Times New Roman;Times;serif" w:hAnsi="Times New Roman;Times;serif"/>
                <w:sz w:val="17"/>
              </w:rPr>
              <w:t>Due to a related party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4,509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r>
      <w:tr>
        <w:trPr/>
        <w:tc>
          <w:tcPr>
            <w:tcW w:w="597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7"/>
              </w:rPr>
            </w:pPr>
            <w:r>
              <w:rPr>
                <w:rFonts w:ascii="Times New Roman;Times;serif" w:hAnsi="Times New Roman;Times;serif"/>
                <w:sz w:val="17"/>
              </w:rPr>
              <w:t>Prepaid expenses and other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(611,041)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219,713</w:t>
            </w:r>
          </w:p>
        </w:tc>
      </w:tr>
      <w:tr>
        <w:trPr/>
        <w:tc>
          <w:tcPr>
            <w:tcW w:w="5971" w:type="dxa"/>
            <w:tcBorders/>
            <w:vAlign w:val="center"/>
          </w:tcPr>
          <w:p>
            <w:pPr>
              <w:pStyle w:val="TableContents"/>
              <w:pBdr/>
              <w:bidi w:val="0"/>
              <w:spacing w:before="0" w:after="1"/>
              <w:ind w:left="0" w:right="0" w:hanging="0"/>
              <w:jc w:val="left"/>
              <w:rPr>
                <w:rFonts w:ascii="Times New Roman;Times;serif" w:hAnsi="Times New Roman;Times;serif"/>
                <w:sz w:val="17"/>
              </w:rPr>
            </w:pPr>
            <w:r>
              <w:rPr>
                <w:rFonts w:ascii="Times New Roman;Times;serif" w:hAnsi="Times New Roman;Times;serif"/>
                <w:sz w:val="17"/>
              </w:rPr>
              <w:t>Accounts payable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(104,760)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r>
      <w:tr>
        <w:trPr/>
        <w:tc>
          <w:tcPr>
            <w:tcW w:w="597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7"/>
              </w:rPr>
            </w:pPr>
            <w:r>
              <w:rPr>
                <w:rFonts w:ascii="Times New Roman;Times;serif" w:hAnsi="Times New Roman;Times;serif"/>
                <w:sz w:val="17"/>
              </w:rPr>
              <w:t>Other payables and other 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(301,003)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37,797</w:t>
            </w:r>
          </w:p>
        </w:tc>
      </w:tr>
      <w:tr>
        <w:trPr/>
        <w:tc>
          <w:tcPr>
            <w:tcW w:w="5971" w:type="dxa"/>
            <w:tcBorders/>
            <w:vAlign w:val="center"/>
          </w:tcPr>
          <w:p>
            <w:pPr>
              <w:pStyle w:val="TableContents"/>
              <w:pBdr/>
              <w:bidi w:val="0"/>
              <w:spacing w:before="0" w:after="1"/>
              <w:ind w:left="0" w:right="0" w:hanging="0"/>
              <w:jc w:val="left"/>
              <w:rPr>
                <w:rFonts w:ascii="Times New Roman;Times;serif" w:hAnsi="Times New Roman;Times;serif"/>
                <w:sz w:val="17"/>
              </w:rPr>
            </w:pPr>
            <w:r>
              <w:rPr>
                <w:rFonts w:ascii="Times New Roman;Times;serif" w:hAnsi="Times New Roman;Times;serif"/>
                <w:sz w:val="17"/>
              </w:rPr>
              <w:t>Operating lease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(250,041)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(17,761)</w:t>
            </w:r>
          </w:p>
        </w:tc>
      </w:tr>
      <w:tr>
        <w:trPr/>
        <w:tc>
          <w:tcPr>
            <w:tcW w:w="597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7"/>
              </w:rPr>
            </w:pPr>
            <w:r>
              <w:rPr>
                <w:rFonts w:ascii="Times New Roman;Times;serif" w:hAnsi="Times New Roman;Times;serif"/>
                <w:sz w:val="17"/>
              </w:rPr>
              <w:t>Cash used in operating activities-continuing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(865,760)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(1,206,833)</w:t>
            </w:r>
          </w:p>
        </w:tc>
      </w:tr>
      <w:tr>
        <w:trPr/>
        <w:tc>
          <w:tcPr>
            <w:tcW w:w="5971" w:type="dxa"/>
            <w:tcBorders/>
            <w:vAlign w:val="center"/>
          </w:tcPr>
          <w:p>
            <w:pPr>
              <w:pStyle w:val="TableContents"/>
              <w:pBdr/>
              <w:bidi w:val="0"/>
              <w:spacing w:before="0" w:after="1"/>
              <w:ind w:left="0" w:right="0" w:hanging="0"/>
              <w:jc w:val="left"/>
              <w:rPr>
                <w:rFonts w:ascii="Times New Roman;Times;serif" w:hAnsi="Times New Roman;Times;serif"/>
                <w:sz w:val="17"/>
              </w:rPr>
            </w:pPr>
            <w:r>
              <w:rPr>
                <w:rFonts w:ascii="Times New Roman;Times;serif" w:hAnsi="Times New Roman;Times;serif"/>
                <w:sz w:val="17"/>
              </w:rPr>
              <w:t>Cash provided by operating activities-discontinued operations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2,540,501</w:t>
            </w:r>
          </w:p>
        </w:tc>
      </w:tr>
      <w:tr>
        <w:trPr/>
        <w:tc>
          <w:tcPr>
            <w:tcW w:w="597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Net cash provided by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7"/>
              </w:rPr>
            </w:pPr>
            <w:r>
              <w:rPr>
                <w:rFonts w:ascii="Times New Roman;Times;serif" w:hAnsi="Times New Roman;Times;serif"/>
                <w:b/>
                <w:sz w:val="17"/>
              </w:rPr>
              <w:t>(865,760)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7"/>
              </w:rPr>
            </w:pPr>
            <w:r>
              <w:rPr>
                <w:rFonts w:ascii="Times New Roman;Times;serif" w:hAnsi="Times New Roman;Times;serif"/>
                <w:b/>
                <w:sz w:val="17"/>
              </w:rPr>
              <w:t>1,333,668</w:t>
            </w:r>
          </w:p>
        </w:tc>
      </w:tr>
      <w:tr>
        <w:trPr/>
        <w:tc>
          <w:tcPr>
            <w:tcW w:w="59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r>
      <w:tr>
        <w:trPr/>
        <w:tc>
          <w:tcPr>
            <w:tcW w:w="597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Cash flows from investing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r>
      <w:tr>
        <w:trPr/>
        <w:tc>
          <w:tcPr>
            <w:tcW w:w="5971" w:type="dxa"/>
            <w:tcBorders/>
            <w:vAlign w:val="center"/>
          </w:tcPr>
          <w:p>
            <w:pPr>
              <w:pStyle w:val="TableContents"/>
              <w:pBdr/>
              <w:bidi w:val="0"/>
              <w:spacing w:before="0" w:after="1"/>
              <w:ind w:left="0" w:right="0" w:hanging="0"/>
              <w:jc w:val="left"/>
              <w:rPr>
                <w:rFonts w:ascii="Times New Roman;Times;serif" w:hAnsi="Times New Roman;Times;serif"/>
                <w:sz w:val="17"/>
              </w:rPr>
            </w:pPr>
            <w:r>
              <w:rPr>
                <w:rFonts w:ascii="Times New Roman;Times;serif" w:hAnsi="Times New Roman;Times;serif"/>
                <w:sz w:val="17"/>
              </w:rPr>
              <w:t>Acquisition of business, net of cash acquired</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(4,974,529)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r>
      <w:tr>
        <w:trPr/>
        <w:tc>
          <w:tcPr>
            <w:tcW w:w="597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7"/>
              </w:rPr>
            </w:pPr>
            <w:r>
              <w:rPr>
                <w:rFonts w:ascii="Times New Roman;Times;serif" w:hAnsi="Times New Roman;Times;serif"/>
                <w:sz w:val="17"/>
              </w:rPr>
              <w:t>Cash used in disposal of Edward</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(3,844)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r>
      <w:tr>
        <w:trPr/>
        <w:tc>
          <w:tcPr>
            <w:tcW w:w="5971" w:type="dxa"/>
            <w:tcBorders/>
            <w:vAlign w:val="center"/>
          </w:tcPr>
          <w:p>
            <w:pPr>
              <w:pStyle w:val="TableContents"/>
              <w:pBdr/>
              <w:bidi w:val="0"/>
              <w:spacing w:before="0" w:after="1"/>
              <w:ind w:left="0" w:right="0" w:hanging="0"/>
              <w:jc w:val="left"/>
              <w:rPr>
                <w:rFonts w:ascii="Times New Roman;Times;serif" w:hAnsi="Times New Roman;Times;serif"/>
                <w:sz w:val="17"/>
              </w:rPr>
            </w:pPr>
            <w:r>
              <w:rPr>
                <w:rFonts w:ascii="Times New Roman;Times;serif" w:hAnsi="Times New Roman;Times;serif"/>
                <w:sz w:val="17"/>
              </w:rPr>
              <w:t>Investment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(41,110,573)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r>
      <w:tr>
        <w:trPr/>
        <w:tc>
          <w:tcPr>
            <w:tcW w:w="597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7"/>
              </w:rPr>
            </w:pPr>
            <w:r>
              <w:rPr>
                <w:rFonts w:ascii="Times New Roman;Times;serif" w:hAnsi="Times New Roman;Times;serif"/>
                <w:sz w:val="17"/>
              </w:rPr>
              <w:t>Loans made to third parties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(26,490,000)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(3,445,150)</w:t>
            </w:r>
          </w:p>
        </w:tc>
      </w:tr>
      <w:tr>
        <w:trPr/>
        <w:tc>
          <w:tcPr>
            <w:tcW w:w="5971" w:type="dxa"/>
            <w:tcBorders/>
            <w:vAlign w:val="center"/>
          </w:tcPr>
          <w:p>
            <w:pPr>
              <w:pStyle w:val="TableContents"/>
              <w:pBdr/>
              <w:bidi w:val="0"/>
              <w:spacing w:before="0" w:after="1"/>
              <w:ind w:left="0" w:right="0" w:hanging="0"/>
              <w:jc w:val="left"/>
              <w:rPr>
                <w:rFonts w:ascii="Times New Roman;Times;serif" w:hAnsi="Times New Roman;Times;serif"/>
                <w:sz w:val="17"/>
              </w:rPr>
            </w:pPr>
            <w:r>
              <w:rPr>
                <w:rFonts w:ascii="Times New Roman;Times;serif" w:hAnsi="Times New Roman;Times;serif"/>
                <w:sz w:val="17"/>
              </w:rPr>
              <w:t>Loans repayment received from third parties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3,968,598</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784,000</w:t>
            </w:r>
          </w:p>
        </w:tc>
      </w:tr>
      <w:tr>
        <w:trPr/>
        <w:tc>
          <w:tcPr>
            <w:tcW w:w="597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7"/>
              </w:rPr>
            </w:pPr>
            <w:r>
              <w:rPr>
                <w:rFonts w:ascii="Times New Roman;Times;serif" w:hAnsi="Times New Roman;Times;serif"/>
                <w:sz w:val="17"/>
              </w:rPr>
              <w:t>Cash used in investing activities-continuing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(68,610,348)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(2,661,150)</w:t>
            </w:r>
          </w:p>
        </w:tc>
      </w:tr>
      <w:tr>
        <w:trPr/>
        <w:tc>
          <w:tcPr>
            <w:tcW w:w="5971" w:type="dxa"/>
            <w:tcBorders/>
            <w:vAlign w:val="center"/>
          </w:tcPr>
          <w:p>
            <w:pPr>
              <w:pStyle w:val="TableContents"/>
              <w:pBdr/>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Net cash used in investing activities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7"/>
              </w:rPr>
            </w:pPr>
            <w:r>
              <w:rPr>
                <w:rFonts w:ascii="Times New Roman;Times;serif" w:hAnsi="Times New Roman;Times;serif"/>
                <w:b/>
                <w:sz w:val="17"/>
              </w:rPr>
              <w:t>(68,610,348)</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7"/>
              </w:rPr>
            </w:pPr>
            <w:r>
              <w:rPr>
                <w:rFonts w:ascii="Times New Roman;Times;serif" w:hAnsi="Times New Roman;Times;serif"/>
                <w:b/>
                <w:sz w:val="17"/>
              </w:rPr>
              <w:t>(2,661,150)</w:t>
            </w:r>
          </w:p>
        </w:tc>
      </w:tr>
      <w:tr>
        <w:trPr/>
        <w:tc>
          <w:tcPr>
            <w:tcW w:w="5971" w:type="dxa"/>
            <w:tcBorders/>
            <w:shd w:fill="CCEEFF" w:val="clear"/>
            <w:vAlign w:val="center"/>
          </w:tcPr>
          <w:p>
            <w:pPr>
              <w:pStyle w:val="TableContents"/>
              <w:pBdr/>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r>
      <w:tr>
        <w:trPr/>
        <w:tc>
          <w:tcPr>
            <w:tcW w:w="5971" w:type="dxa"/>
            <w:tcBorders/>
            <w:vAlign w:val="center"/>
          </w:tcPr>
          <w:p>
            <w:pPr>
              <w:pStyle w:val="TableContents"/>
              <w:pBdr/>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Cash flows from financing activities: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pPr>
            <w:r>
              <w:rPr/>
              <w:t>​</w:t>
            </w:r>
          </w:p>
        </w:tc>
      </w:tr>
      <w:tr>
        <w:trPr/>
        <w:tc>
          <w:tcPr>
            <w:tcW w:w="597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7"/>
              </w:rPr>
            </w:pPr>
            <w:r>
              <w:rPr>
                <w:rFonts w:ascii="Times New Roman;Times;serif" w:hAnsi="Times New Roman;Times;serif"/>
                <w:sz w:val="17"/>
              </w:rPr>
              <w:t>Proceeds from PIPE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40,140,000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r>
      <w:tr>
        <w:trPr/>
        <w:tc>
          <w:tcPr>
            <w:tcW w:w="5971" w:type="dxa"/>
            <w:tcBorders/>
            <w:vAlign w:val="center"/>
          </w:tcPr>
          <w:p>
            <w:pPr>
              <w:pStyle w:val="TableContents"/>
              <w:pBdr/>
              <w:bidi w:val="0"/>
              <w:spacing w:before="0" w:after="1"/>
              <w:ind w:left="0" w:right="0" w:hanging="0"/>
              <w:jc w:val="left"/>
              <w:rPr>
                <w:rFonts w:ascii="Times New Roman;Times;serif" w:hAnsi="Times New Roman;Times;serif"/>
                <w:sz w:val="17"/>
              </w:rPr>
            </w:pPr>
            <w:r>
              <w:rPr>
                <w:rFonts w:ascii="Times New Roman;Times;serif" w:hAnsi="Times New Roman;Times;serif"/>
                <w:sz w:val="17"/>
              </w:rPr>
              <w:t>Proceeds from issuance of common stock under ATM offering</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30,947,851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r>
      <w:tr>
        <w:trPr/>
        <w:tc>
          <w:tcPr>
            <w:tcW w:w="597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7"/>
              </w:rPr>
            </w:pPr>
            <w:r>
              <w:rPr>
                <w:rFonts w:ascii="Times New Roman;Times;serif" w:hAnsi="Times New Roman;Times;serif"/>
                <w:sz w:val="17"/>
              </w:rPr>
              <w:t>Issuance of Class B common stock pursuant to stock subscription</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400,000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r>
      <w:tr>
        <w:trPr/>
        <w:tc>
          <w:tcPr>
            <w:tcW w:w="5971" w:type="dxa"/>
            <w:tcBorders/>
            <w:vAlign w:val="center"/>
          </w:tcPr>
          <w:p>
            <w:pPr>
              <w:pStyle w:val="TableContents"/>
              <w:pBdr/>
              <w:bidi w:val="0"/>
              <w:spacing w:before="0" w:after="1"/>
              <w:ind w:left="0" w:right="0" w:hanging="0"/>
              <w:jc w:val="left"/>
              <w:rPr>
                <w:rFonts w:ascii="Times New Roman;Times;serif" w:hAnsi="Times New Roman;Times;serif"/>
                <w:sz w:val="17"/>
              </w:rPr>
            </w:pPr>
            <w:r>
              <w:rPr>
                <w:rFonts w:ascii="Times New Roman;Times;serif" w:hAnsi="Times New Roman;Times;serif"/>
                <w:sz w:val="17"/>
              </w:rPr>
              <w:t>Repayments of premium finance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(82,650)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(120,461)</w:t>
            </w:r>
          </w:p>
        </w:tc>
      </w:tr>
      <w:tr>
        <w:trPr/>
        <w:tc>
          <w:tcPr>
            <w:tcW w:w="597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7"/>
              </w:rPr>
            </w:pPr>
            <w:r>
              <w:rPr>
                <w:rFonts w:ascii="Times New Roman;Times;serif" w:hAnsi="Times New Roman;Times;serif"/>
                <w:sz w:val="17"/>
              </w:rPr>
              <w:t>Repayments of long-term borrowings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(18,706)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(17,833)</w:t>
            </w:r>
          </w:p>
        </w:tc>
      </w:tr>
      <w:tr>
        <w:trPr/>
        <w:tc>
          <w:tcPr>
            <w:tcW w:w="5971" w:type="dxa"/>
            <w:tcBorders/>
            <w:vAlign w:val="center"/>
          </w:tcPr>
          <w:p>
            <w:pPr>
              <w:pStyle w:val="TableContents"/>
              <w:pBdr/>
              <w:bidi w:val="0"/>
              <w:spacing w:before="0" w:after="1"/>
              <w:ind w:left="0" w:right="0" w:hanging="0"/>
              <w:jc w:val="left"/>
              <w:rPr>
                <w:rFonts w:ascii="Times New Roman;Times;serif" w:hAnsi="Times New Roman;Times;serif"/>
                <w:sz w:val="17"/>
              </w:rPr>
            </w:pPr>
            <w:r>
              <w:rPr>
                <w:rFonts w:ascii="Times New Roman;Times;serif" w:hAnsi="Times New Roman;Times;serif"/>
                <w:sz w:val="17"/>
              </w:rPr>
              <w:t>Cash (used in) provided by financing activities-continuing operations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71,386,496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(138,294)</w:t>
            </w:r>
          </w:p>
        </w:tc>
      </w:tr>
      <w:tr>
        <w:trPr/>
        <w:tc>
          <w:tcPr>
            <w:tcW w:w="597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Net cash (used in) provided by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7"/>
              </w:rPr>
            </w:pPr>
            <w:r>
              <w:rPr>
                <w:rFonts w:ascii="Times New Roman;Times;serif" w:hAnsi="Times New Roman;Times;serif"/>
                <w:b/>
                <w:sz w:val="17"/>
              </w:rPr>
              <w:t>71,386,496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7"/>
              </w:rPr>
            </w:pPr>
            <w:r>
              <w:rPr>
                <w:rFonts w:ascii="Times New Roman;Times;serif" w:hAnsi="Times New Roman;Times;serif"/>
                <w:b/>
                <w:sz w:val="17"/>
              </w:rPr>
              <w:t>(138,294)</w:t>
            </w:r>
          </w:p>
        </w:tc>
      </w:tr>
      <w:tr>
        <w:trPr/>
        <w:tc>
          <w:tcPr>
            <w:tcW w:w="5971" w:type="dxa"/>
            <w:tcBorders/>
            <w:vAlign w:val="center"/>
          </w:tcPr>
          <w:p>
            <w:pPr>
              <w:pStyle w:val="TableContents"/>
              <w:pBdr/>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r>
      <w:tr>
        <w:trPr/>
        <w:tc>
          <w:tcPr>
            <w:tcW w:w="597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Net (decrease) increase in cash</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b/>
                <w:sz w:val="17"/>
              </w:rPr>
            </w:pPr>
            <w:r>
              <w:rPr>
                <w:rFonts w:ascii="Times New Roman;Times;serif" w:hAnsi="Times New Roman;Times;serif"/>
                <w:b/>
                <w:sz w:val="17"/>
              </w:rPr>
              <w:t>1,910,387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7"/>
              </w:rPr>
            </w:pPr>
            <w:r>
              <w:rPr>
                <w:rFonts w:ascii="Times New Roman;Times;serif" w:hAnsi="Times New Roman;Times;serif"/>
                <w:b/>
                <w:sz w:val="17"/>
              </w:rPr>
              <w:t>(1,465,776)</w:t>
            </w:r>
          </w:p>
        </w:tc>
      </w:tr>
      <w:tr>
        <w:trPr/>
        <w:tc>
          <w:tcPr>
            <w:tcW w:w="5971" w:type="dxa"/>
            <w:tcBorders/>
            <w:vAlign w:val="center"/>
          </w:tcPr>
          <w:p>
            <w:pPr>
              <w:pStyle w:val="TableContents"/>
              <w:pBdr/>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Cash, beginning of period</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7"/>
              </w:rPr>
            </w:pPr>
            <w:r>
              <w:rPr>
                <w:rFonts w:ascii="Times New Roman;Times;serif" w:hAnsi="Times New Roman;Times;serif"/>
                <w:b/>
                <w:sz w:val="17"/>
              </w:rPr>
              <w:t>233,217</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7"/>
              </w:rPr>
            </w:pPr>
            <w:r>
              <w:rPr>
                <w:rFonts w:ascii="Times New Roman;Times;serif" w:hAnsi="Times New Roman;Times;serif"/>
                <w:b/>
                <w:sz w:val="17"/>
              </w:rPr>
              <w:t>1,650,962</w:t>
            </w:r>
          </w:p>
        </w:tc>
      </w:tr>
      <w:tr>
        <w:trPr/>
        <w:tc>
          <w:tcPr>
            <w:tcW w:w="597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Cash, end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7"/>
              </w:rPr>
            </w:pPr>
            <w:r>
              <w:rPr>
                <w:rFonts w:ascii="Times New Roman;Times;serif" w:hAnsi="Times New Roman;Times;serif"/>
                <w:b/>
                <w:sz w:val="17"/>
              </w:rPr>
              <w:t>2,143,604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7"/>
              </w:rPr>
            </w:pPr>
            <w:r>
              <w:rPr>
                <w:rFonts w:ascii="Times New Roman;Times;serif" w:hAnsi="Times New Roman;Times;serif"/>
                <w:b/>
                <w:sz w:val="17"/>
              </w:rPr>
              <w:t>185,186</w:t>
            </w:r>
          </w:p>
        </w:tc>
      </w:tr>
      <w:tr>
        <w:trPr/>
        <w:tc>
          <w:tcPr>
            <w:tcW w:w="5971" w:type="dxa"/>
            <w:tcBorders/>
            <w:vAlign w:val="center"/>
          </w:tcPr>
          <w:p>
            <w:pPr>
              <w:pStyle w:val="TableContents"/>
              <w:pBdr/>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Less cash and cash equivalents of discontinued operations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r>
      <w:tr>
        <w:trPr/>
        <w:tc>
          <w:tcPr>
            <w:tcW w:w="597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Cash of continuing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7"/>
              </w:rPr>
            </w:pPr>
            <w:r>
              <w:rPr>
                <w:rFonts w:ascii="Times New Roman;Times;serif" w:hAnsi="Times New Roman;Times;serif"/>
                <w:b/>
                <w:sz w:val="17"/>
              </w:rPr>
              <w:t>2,143,604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w:t>
            </w:r>
          </w:p>
        </w:tc>
        <w:tc>
          <w:tcPr>
            <w:tcW w:w="9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7"/>
              </w:rPr>
            </w:pPr>
            <w:r>
              <w:rPr>
                <w:rFonts w:ascii="Times New Roman;Times;serif" w:hAnsi="Times New Roman;Times;serif"/>
                <w:b/>
                <w:sz w:val="17"/>
              </w:rPr>
              <w:t>185,186</w:t>
            </w:r>
          </w:p>
        </w:tc>
      </w:tr>
      <w:tr>
        <w:trPr/>
        <w:tc>
          <w:tcPr>
            <w:tcW w:w="5971" w:type="dxa"/>
            <w:tcBorders/>
            <w:vAlign w:val="center"/>
          </w:tcPr>
          <w:p>
            <w:pPr>
              <w:pStyle w:val="TableContents"/>
              <w:pBdr/>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r>
      <w:tr>
        <w:trPr/>
        <w:tc>
          <w:tcPr>
            <w:tcW w:w="597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Supplemental cash flow information</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pPr>
            <w:r>
              <w:rPr/>
              <w:t>​</w:t>
            </w:r>
          </w:p>
        </w:tc>
      </w:tr>
      <w:tr>
        <w:trPr/>
        <w:tc>
          <w:tcPr>
            <w:tcW w:w="5971" w:type="dxa"/>
            <w:tcBorders/>
            <w:vAlign w:val="center"/>
          </w:tcPr>
          <w:p>
            <w:pPr>
              <w:pStyle w:val="TableContents"/>
              <w:pBdr/>
              <w:bidi w:val="0"/>
              <w:spacing w:before="0" w:after="1"/>
              <w:ind w:left="0" w:right="0" w:hanging="0"/>
              <w:jc w:val="left"/>
              <w:rPr>
                <w:rFonts w:ascii="Times New Roman;Times;serif" w:hAnsi="Times New Roman;Times;serif"/>
                <w:sz w:val="17"/>
              </w:rPr>
            </w:pPr>
            <w:r>
              <w:rPr>
                <w:rFonts w:ascii="Times New Roman;Times;serif" w:hAnsi="Times New Roman;Times;serif"/>
                <w:sz w:val="17"/>
              </w:rPr>
              <w:t>Cash paid for income taxes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7"/>
              </w:rPr>
            </w:pPr>
            <w:r>
              <w:rPr>
                <w:rFonts w:ascii="Times New Roman;Times;serif" w:hAnsi="Times New Roman;Times;serif"/>
                <w:b/>
                <w:sz w:val="17"/>
              </w:rPr>
              <w:t>2,155</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w:t>
            </w:r>
          </w:p>
        </w:tc>
        <w:tc>
          <w:tcPr>
            <w:tcW w:w="9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7"/>
              </w:rPr>
            </w:pPr>
            <w:r>
              <w:rPr>
                <w:rFonts w:ascii="Times New Roman;Times;serif" w:hAnsi="Times New Roman;Times;serif"/>
                <w:b/>
                <w:sz w:val="17"/>
              </w:rPr>
              <w:t>2,155</w:t>
            </w:r>
          </w:p>
        </w:tc>
      </w:tr>
      <w:tr>
        <w:trPr/>
        <w:tc>
          <w:tcPr>
            <w:tcW w:w="597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7"/>
              </w:rPr>
            </w:pPr>
            <w:r>
              <w:rPr>
                <w:rFonts w:ascii="Times New Roman;Times;serif" w:hAnsi="Times New Roman;Times;serif"/>
                <w:sz w:val="17"/>
              </w:rPr>
              <w:t>Cash paid for interests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7"/>
              </w:rPr>
            </w:pPr>
            <w:r>
              <w:rPr>
                <w:rFonts w:ascii="Times New Roman;Times;serif" w:hAnsi="Times New Roman;Times;serif"/>
                <w:b/>
                <w:sz w:val="17"/>
              </w:rPr>
              <w:t>14,499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w:t>
            </w:r>
          </w:p>
        </w:tc>
        <w:tc>
          <w:tcPr>
            <w:tcW w:w="99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17"/>
              </w:rPr>
            </w:pPr>
            <w:r>
              <w:rPr>
                <w:rFonts w:ascii="Times New Roman;Times;serif" w:hAnsi="Times New Roman;Times;serif"/>
                <w:b/>
                <w:sz w:val="17"/>
              </w:rPr>
              <w:t>16,410</w:t>
            </w:r>
          </w:p>
        </w:tc>
      </w:tr>
    </w:tbl>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773" w:name="_63cc8a2f_087d_4003_a7c0_1a4ec4651db1"/>
      <w:bookmarkEnd w:id="773"/>
      <w:r>
        <w:rPr>
          <w:rFonts w:ascii="Times New Roman;Times;serif" w:hAnsi="Times New Roman;Times;serif"/>
          <w:b/>
          <w:sz w:val="20"/>
        </w:rPr>
        <w:t>CHEETAH NET SUPPLY CHAIN SERVICE INC.</w:t>
      </w:r>
    </w:p>
    <w:p>
      <w:pPr>
        <w:pStyle w:val="TextBody"/>
        <w:bidi w:val="0"/>
        <w:spacing w:before="0" w:after="0"/>
        <w:ind w:left="0" w:right="0" w:hanging="0"/>
        <w:jc w:val="center"/>
        <w:rPr>
          <w:rFonts w:ascii="Times New Roman;Times;serif" w:hAnsi="Times New Roman;Times;serif"/>
          <w:b/>
          <w:sz w:val="20"/>
        </w:rPr>
      </w:pPr>
      <w:bookmarkStart w:id="774" w:name="NOTESTOUNAUDITEDCONDENSEDCONSOLIDATEDFIN"/>
      <w:bookmarkEnd w:id="774"/>
      <w:r>
        <w:rPr>
          <w:rFonts w:ascii="Times New Roman;Times;serif" w:hAnsi="Times New Roman;Times;serif"/>
          <w:b/>
          <w:sz w:val="20"/>
        </w:rPr>
        <w:t>NOTES TO CONSOLIDATED FINANCIAL STATEMENTS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 1 — ORGANIZATION AND BUSINESS DESCRIPTION</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Cheetah Net Supply Chain Service Inc. (“Cheetah Net” or the “Company”), formerly known as Yuan Qiu Business Group LLC, was established under the laws of the State of North Carolina on August 9, 2016 as a limited liability company (“LLC”). On March 1, 2022, the Company filed articles of incorporation including articles of conversion with the Secretary of State of the State of North Carolina to convert from an LLC to a corporation, and changed its name to Cheetah Net Supply Chain Service Inc. On February 2, 2026, the Company converted from a corporation organized under the laws of the State of North Carolina into a corporation organized under the laws of the State of Delaware pursuant to a plan of conversion approved by the Company’s stockholders. The conversion constituted a continuation of the Company’s existence and did not result in any change to the Company’s business, assets, liabilities or outstanding shares of common stock. The Company holds 100% of the equity interests in the following entities: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 Allen-Boy International LLC (“Allen-Boy”), an LLC organized on August 31, 2016 under the laws of the State of Delaware, which was acquired by Cheetah Net from Yingchang Yuan, the previous owner of Allen-Boy who beneficially owns 1,200,000</w:t>
            </w:r>
            <w:r>
              <w:rPr>
                <w:caps w:val="false"/>
                <w:smallCaps w:val="false"/>
              </w:rPr>
              <w:t xml:space="preserve"> </w:t>
            </w:r>
            <w:r>
              <w:rPr>
                <w:rFonts w:ascii="Times New Roman;Times;serif" w:hAnsi="Times New Roman;Times;serif"/>
                <w:b w:val="false"/>
                <w:i w:val="false"/>
                <w:caps w:val="false"/>
                <w:smallCaps w:val="false"/>
                <w:sz w:val="20"/>
              </w:rPr>
              <w:t>shares of Class A common stock of Cheetah Net, for a total consideration of $100</w:t>
            </w:r>
            <w:r>
              <w:rPr>
                <w:caps w:val="false"/>
                <w:smallCaps w:val="false"/>
              </w:rPr>
              <w:t xml:space="preserve"> </w:t>
            </w:r>
            <w:r>
              <w:rPr>
                <w:rFonts w:ascii="Times New Roman;Times;serif" w:hAnsi="Times New Roman;Times;serif"/>
                <w:b w:val="false"/>
                <w:i w:val="false"/>
                <w:caps w:val="false"/>
                <w:smallCaps w:val="false"/>
                <w:sz w:val="20"/>
              </w:rPr>
              <w:t>on January 1, 2017. Allen-Boy did not have any business activities until acquired by Cheetah Net. Allen-Boy previously engaged in the parallel-import vehicle dealership business, which the Company discontinued in March 2025. As of the date of this report, Allen-Boy is not engaged in any business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(ii) Entour Solutions LLC (“Entour”), an LLC organized on April 8, 2021 under the laws of the State of New York, which was acquired by Cheetah Net from Daihan Ding, the previous owner of Entour, for a total consideration of $100</w:t>
            </w:r>
            <w:r>
              <w:rPr>
                <w:caps w:val="false"/>
                <w:smallCaps w:val="false"/>
              </w:rPr>
              <w:t xml:space="preserve"> </w:t>
            </w:r>
            <w:r>
              <w:rPr>
                <w:rFonts w:ascii="Times New Roman;Times;serif" w:hAnsi="Times New Roman;Times;serif"/>
                <w:b w:val="false"/>
                <w:i w:val="false"/>
                <w:caps w:val="false"/>
                <w:smallCaps w:val="false"/>
                <w:sz w:val="20"/>
              </w:rPr>
              <w:t>on April 9, 2021. Entour did not have any business activities until acquired by Cheetah Net. Entour previously engaged in the parallel-import vehicle dealership business, which the Company discontinued in March 2025. As of the date of this report, Entour is not engaged in any business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(iii) TW &amp; EW Services Inc. (“TWEW”), a corporation incorporated on February 27, 2020 under the laws of the State of California, whose previous shareholders and owners transferred all their rights, titles, and interests in and to all of the issued and outstanding equity interests of TWEW to Cheetah Net for a total consideration of $1.0</w:t>
            </w:r>
            <w:r>
              <w:rPr>
                <w:caps w:val="false"/>
                <w:smallCaps w:val="false"/>
              </w:rPr>
              <w:t xml:space="preserve"> </w:t>
            </w:r>
            <w:r>
              <w:rPr>
                <w:rFonts w:ascii="Times New Roman;Times;serif" w:hAnsi="Times New Roman;Times;serif"/>
                <w:b w:val="false"/>
                <w:i w:val="false"/>
                <w:caps w:val="false"/>
                <w:smallCaps w:val="false"/>
                <w:sz w:val="20"/>
              </w:rPr>
              <w:t>million, consisting of a $200,000</w:t>
            </w:r>
            <w:r>
              <w:rPr>
                <w:caps w:val="false"/>
                <w:smallCaps w:val="false"/>
              </w:rPr>
              <w:t xml:space="preserve"> </w:t>
            </w:r>
            <w:r>
              <w:rPr>
                <w:rFonts w:ascii="Times New Roman;Times;serif" w:hAnsi="Times New Roman;Times;serif"/>
                <w:b w:val="false"/>
                <w:i w:val="false"/>
                <w:caps w:val="false"/>
                <w:smallCaps w:val="false"/>
                <w:sz w:val="20"/>
              </w:rPr>
              <w:t>cash payment and Class A common stock valued at $800,000</w:t>
            </w:r>
            <w:r>
              <w:rPr>
                <w:caps w:val="false"/>
                <w:smallCaps w:val="false"/>
              </w:rPr>
              <w:t xml:space="preserve"> </w:t>
            </w:r>
            <w:r>
              <w:rPr>
                <w:rFonts w:ascii="Times New Roman;Times;serif" w:hAnsi="Times New Roman;Times;serif"/>
                <w:b w:val="false"/>
                <w:i w:val="false"/>
                <w:caps w:val="false"/>
                <w:smallCaps w:val="false"/>
                <w:sz w:val="20"/>
              </w:rPr>
              <w:t>through a stock purchase agreement dated November 27, 2024. The TWEW acquisition was closed on December 19, 2024. Currently, TWEW is engaged in logistics and labor services to strengthen the Company’s position in the logistics sector.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(iv) NexTrade International LLC (“NexTrade”), a limited liability company organized on September 13, 2024 under the laws of the State of Delaware. NexTrade holds 100%</w:t>
            </w:r>
            <w:r>
              <w:rPr>
                <w:caps w:val="false"/>
                <w:smallCaps w:val="false"/>
              </w:rPr>
              <w:t xml:space="preserve"> </w:t>
            </w:r>
            <w:r>
              <w:rPr>
                <w:rFonts w:ascii="Times New Roman;Times;serif" w:hAnsi="Times New Roman;Times;serif"/>
                <w:b w:val="false"/>
                <w:i w:val="false"/>
                <w:caps w:val="false"/>
                <w:smallCaps w:val="false"/>
                <w:sz w:val="20"/>
              </w:rPr>
              <w:t>of the ownership interests in Naiside (Shenzhen) International Trading Co., Ltd., a limited liability company organized on December 3, 2024 under the laws of the PRC. On December 19, 2024, the Company entered into a membership interest purchase agreement with Pingzheng Li, the then 100%</w:t>
            </w:r>
            <w:r>
              <w:rPr>
                <w:caps w:val="false"/>
                <w:smallCaps w:val="false"/>
              </w:rPr>
              <w:t xml:space="preserve"> </w:t>
            </w:r>
            <w:r>
              <w:rPr>
                <w:rFonts w:ascii="Times New Roman;Times;serif" w:hAnsi="Times New Roman;Times;serif"/>
                <w:b w:val="false"/>
                <w:i w:val="false"/>
                <w:caps w:val="false"/>
                <w:smallCaps w:val="false"/>
                <w:sz w:val="20"/>
              </w:rPr>
              <w:t>owner of NexTrade, pursuant to which the Company purchased the 100%</w:t>
            </w:r>
            <w:r>
              <w:rPr>
                <w:caps w:val="false"/>
                <w:smallCaps w:val="false"/>
              </w:rPr>
              <w:t xml:space="preserve"> </w:t>
            </w:r>
            <w:r>
              <w:rPr>
                <w:rFonts w:ascii="Times New Roman;Times;serif" w:hAnsi="Times New Roman;Times;serif"/>
                <w:b w:val="false"/>
                <w:i w:val="false"/>
                <w:caps w:val="false"/>
                <w:smallCaps w:val="false"/>
                <w:sz w:val="20"/>
              </w:rPr>
              <w:t>membership interests in NexTrade for the consideration of $1. The transaction closed on the same day. As of the date of this report, NexTrade is not engaged in any business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Cheetah Net Supply Chain Service Ltd (“Cheetah BVI”), a corporation incorporated on March 28, 2025 under the laws of the British Virgin Islands. As of the date of this report, Cheetah BVI is not engaged in any business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(vi) Super International Trading Limited (“Super International”), a private limited company incorporated under the laws of Hong Kong, which was acquired by Cheetah Net from Mr. Leyan Yang, the sole shareholder of Super International, for a total consideration of $4,980,000</w:t>
            </w:r>
            <w:r>
              <w:rPr>
                <w:caps w:val="false"/>
                <w:smallCaps w:val="false"/>
              </w:rPr>
              <w:t xml:space="preserve"> </w:t>
            </w:r>
            <w:r>
              <w:rPr>
                <w:rFonts w:ascii="Times New Roman;Times;serif" w:hAnsi="Times New Roman;Times;serif"/>
                <w:b w:val="false"/>
                <w:i w:val="false"/>
                <w:caps w:val="false"/>
                <w:smallCaps w:val="false"/>
                <w:sz w:val="20"/>
              </w:rPr>
              <w:t>in cash on May 27, 2026. Super International is engaged in the procurement and sale of excavators and construction machinery, conducting purchase and resale transactions with equipment suppliers and export-oriented trading customers.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September 30, 2024, the Company’s stockholders approved its fourth amended and restated articles of incorporation, which authorizes a reverse stock split of the issued shares of its Common Stock, par value $0.0001 per share, at a ratio ranging from </w:t>
      </w:r>
      <w:r>
        <w:rPr>
          <w:rFonts w:ascii="Times New Roman;Times;serif" w:hAnsi="Times New Roman;Times;serif"/>
          <w:b w:val="false"/>
          <w:i w:val="false"/>
          <w:caps w:val="false"/>
          <w:smallCaps w:val="false"/>
          <w:sz w:val="20"/>
        </w:rPr>
        <w:t>1</w:t>
      </w:r>
      <w:r>
        <w:rPr>
          <w:rFonts w:ascii="Times New Roman;Times;serif" w:hAnsi="Times New Roman;Times;serif"/>
          <w:sz w:val="20"/>
        </w:rPr>
        <w:t xml:space="preserve">-for-10 to </w:t>
      </w:r>
      <w:r>
        <w:rPr>
          <w:rFonts w:ascii="Times New Roman;Times;serif" w:hAnsi="Times New Roman;Times;serif"/>
          <w:b w:val="false"/>
          <w:i w:val="false"/>
          <w:caps w:val="false"/>
          <w:smallCaps w:val="false"/>
          <w:sz w:val="20"/>
        </w:rPr>
        <w:t>1</w:t>
      </w:r>
      <w:r>
        <w:rPr>
          <w:rFonts w:ascii="Times New Roman;Times;serif" w:hAnsi="Times New Roman;Times;serif"/>
          <w:sz w:val="20"/>
        </w:rPr>
        <w:t xml:space="preserve">-for-30, as determined at the discretion of the Company’s board of directors. On October 7, 2024, the Company’s board of directors approved a reverse stock split of the Company’s Common Stock at a ratio of </w:t>
      </w:r>
      <w:r>
        <w:rPr>
          <w:rFonts w:ascii="Times New Roman;Times;serif" w:hAnsi="Times New Roman;Times;serif"/>
          <w:b w:val="false"/>
          <w:i w:val="false"/>
          <w:caps w:val="false"/>
          <w:smallCaps w:val="false"/>
          <w:sz w:val="20"/>
        </w:rPr>
        <w:t>1</w:t>
      </w:r>
      <w:r>
        <w:rPr>
          <w:rFonts w:ascii="Times New Roman;Times;serif" w:hAnsi="Times New Roman;Times;serif"/>
          <w:sz w:val="20"/>
        </w:rPr>
        <w:t xml:space="preserve">-for-16. On October 21, 2024, the Company effectuated a reverse stock split of its Common Stock at a ratio of </w:t>
      </w:r>
      <w:r>
        <w:rPr>
          <w:rFonts w:ascii="Times New Roman;Times;serif" w:hAnsi="Times New Roman;Times;serif"/>
          <w:b w:val="false"/>
          <w:i w:val="false"/>
          <w:caps w:val="false"/>
          <w:smallCaps w:val="false"/>
          <w:sz w:val="20"/>
        </w:rPr>
        <w:t>1</w:t>
      </w:r>
      <w:r>
        <w:rPr>
          <w:rFonts w:ascii="Times New Roman;Times;serif" w:hAnsi="Times New Roman;Times;serif"/>
          <w:sz w:val="20"/>
        </w:rPr>
        <w:t xml:space="preserve">-for-16. Following such reverse split, every 16 shares of the Company’s Common Stock outstanding were automatically combined into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new share of Common Stock. No fractional shares were issued in connection with the reverse split; any fractional shares resulting from the reverse split were rounded up to the nearest whole share. The par value per share of the Company’s Common Stock remained unchanged. The Company’s Class A Common Stock started trading on a post-split basis on October 24, 2024, at which time the Class A Common Stock was assigned a new CUSIP number (16307X202).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March 23, 2026, the Company’s board of directors approved a reverse stock split of the Company’s Common Stock at a ratio of </w:t>
      </w:r>
      <w:r>
        <w:rPr>
          <w:rFonts w:ascii="Times New Roman;Times;serif" w:hAnsi="Times New Roman;Times;serif"/>
          <w:b w:val="false"/>
          <w:i w:val="false"/>
          <w:caps w:val="false"/>
          <w:smallCaps w:val="false"/>
          <w:sz w:val="20"/>
        </w:rPr>
        <w:t>1</w:t>
      </w:r>
      <w:r>
        <w:rPr>
          <w:rFonts w:ascii="Times New Roman;Times;serif" w:hAnsi="Times New Roman;Times;serif"/>
          <w:sz w:val="20"/>
        </w:rPr>
        <w:t xml:space="preserve">-for-200. To implement the reverse stock split, the Company filed a Certificate of Amendment to its Certificate of Incorporation with the Secretary of State of the State of Delaware on March 24, 2026. The reverse stock split became effective at 8:00 a.m., Eastern Time, on April 20, 2026. Following such reverse stock split, every 200 shares of the Company’s Common Stock outstanding were automatically combined into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new share of common stock. No fractional shares were issued in connection with the reverse stock split; any fractional shares resulting from the reverse stock split were rounded up to the nearest whole share. The par value per share of the Company’s Common Stock remained unchanged. As a result of the reverse stock split, the Company’s </w:t>
      </w:r>
      <w:r>
        <w:rPr>
          <w:rFonts w:ascii="Times New Roman;Times;serif" w:hAnsi="Times New Roman;Times;serif"/>
          <w:b w:val="false"/>
          <w:i w:val="false"/>
          <w:caps w:val="false"/>
          <w:smallCaps w:val="false"/>
          <w:sz w:val="20"/>
        </w:rPr>
        <w:t>issued</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Class A Common Stock was reduced from 391,177,712 shares to 1,955,889 shares, and the Company’s </w:t>
      </w:r>
      <w:r>
        <w:rPr>
          <w:rFonts w:ascii="Times New Roman;Times;serif" w:hAnsi="Times New Roman;Times;serif"/>
          <w:b w:val="false"/>
          <w:i w:val="false"/>
          <w:caps w:val="false"/>
          <w:smallCaps w:val="false"/>
          <w:sz w:val="20"/>
        </w:rPr>
        <w:t>issued</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Class B Common Stock was reduced from 690,875 shares to 3,456 shares. The Company’s Class A Common Stock began trading on a split-adjusted basis on April 29, 2026, at which time the Class A Common Stock was assigned a new CUSIP number, 16307X301.</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All share information included in this report has been retrospectively adjusted to reflect the aforementioned reverse stock splits as if it had occurred as of the earliest period presented.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Discontinued operations - Parallel-import Vehicles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previously engaged in the business of sourcing and reselling parallel-import vehicles, primarily from the U.S. market to dealers in the U.S. and the PRC. Parallel-import vehicles in the PRC refer to automobiles purchased directly from overseas markets and imported for sale outside of the brand manufacturers’ official distribution networks. In the past, this business contributed significantly to the Company’s revenue. Between 2016 and the first half of 2022, the Company experienced growth in sales volume and gross profit due to favorable market conditions. However, beginning in the second half of 2022, the business was negatively affected by the impact of the COVID-19 pandemic and related lockdowns in the PRC, a decline in customer demand due to weakening macroeconomic conditions, price competition from luxury automakers in the PRC, and a shift in consumer preference toward domestic electric vehicles (“EVs”).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market challenges led to a decline in parallel-import vehicle sales by 30.5% in 2023 and a reduction in net income by 87.5% compared to 2022. The decline accelerated in 2024, with vehicle sales decreasing from 303 units in 2023 to 14 units in 2024, resulting in a 95.7% drop in revenue from $38.3 million in 2023 to $1.6 million in 2024. In addition, the financial strains on the Company’s customers made it increasingly difficult to collect outstanding receivables. While the Company successfully recovered $4.0 million in 2024 and collected additional $2.5 million from the five aged accounts as of the date of the report, the remaining $1.6 million from two customers was determined to be uncollectible, as a result, the management recorded as a credit loss of $1.6 million for the year ended December 31,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the parallel-import vehicle market conditions continued to deteriorate and sales activity in this segment ceased, management determined that the business no longer had a sustainable path forward. On March 3, 2025, the board of directors formally approved the discontinuation of the parallel-import vehicle business. In accordance with ASC 205-20, Presentation of Financial Statements – Discontinued Operations, the Company determined that the parallel-import vehicle segment met the conditions for reporting as a discontinued operation. As a result, all financial results associated with this business have been reclassified as discontinued operations in the accompanying consolidated financial statements for all periods presented. For additional financial details regarding discontinued operations, refer to Note 6-Discontinued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Logistics and Warehousing Services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disposed subsidiary, Edward Transit Express Group, Inc. (“Edward”), operates as a licensed Non-Vessel Operating Common Carrier. It manages freight forwarding, including shipment consolidation and carrier selection, aimed at optimizing shipping operations. Edward also provides warehousing services encompassing fulfillment, storage, and inventory management, crucial for supporting both the Company’s operations and its clients’ logistics needs. On April 1, 2026, the Company completed the disposition of Edward pursuant to a Stock Purchase Agreement dated March 25,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subsidiary, TWEW, specializes in general labor support services and logistics coordination, providing workforce solutions and operational efficiency tools tailored to the logistics and labor sectors. TWEW’s expertise in labor management and logistical support enables the Company to streamline operations, expand its service offerings, and enhance its market position. Management continues to focus on improving operational efficiencies and expanding its market presence in the logistics and warehousing sectors.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International Trading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subsidiary, Super International, is primarily engaged in the procurement and sale of excavators and other construction machinery. Super International operates purchases equipment from suppliers and resells the equipment to export-oriented trading customers based on customer demand. The addition of this business expands the Company’s service offerings and complements its existing logistics and warehousing operations by creating potential opportunities for integrated equipment trading, transportation, and warehousing services.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2 — SUMMARY OF SIGNIFICANT ACCOUNTING POLICIES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consolidated financial statements have been prepared in accordance with the accounting principles generally accepted in the U.S. (“U.S. GAAP”) and pursuant to the rules and regulations of the U.S. Securities and Exchange Commission (the “SEC”). The accompanying consolidated financial statements include the financial statements of the Company and its wholly owned subsidiaries. All intercompany balances and transactions are eliminated upon consolidation. As a U.S.-based company operating globally and transacting solely in United States Dollars (USD), both the Company’s presentation and functional currencies are the USD. This uniformity simplifies the Company’s financial reporting process and ensures clarity in its financial transactions. The Company’s financial statements, therefore, are presented in USD, in compliance with U.S. GAAP requirements, and provide transparent and straightforward financial information to the Company’s stockholders.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preparing the consolidated financial statements in conformity with U.S. GAAP, management makes estimates and assumptions that affect the reported amounts of assets and liabilities and disclosure of contingent assets and liabilities at the date of the consolidated financial statements and the reported amounts of revenue and expenses during the reporting period. These estimates are based on information as of the date of the consolidated financial statements. Significant estimates required to be made by management include, but are not limited to, allowance credit losses of accounts receivables and loan receivables from third parties, the revenue recognition, impairment of long-lived assets, and the realization of deferred tax assets. Actual results could differ from those estimates.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Going Concern Consideration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consolidated financial statements are prepared assuming that the Company will continue as a going concern.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reported a net loss of approximately $0.5 million for six months ended June 30, 2026, and net cash used in operating activities of approximately $0.9 million. As the Company has been integrating into newly acquired international trading business and developing to the logistics and warehousing service business, the Company may continue to incur operating losses and generate negative cash flow. These factors raise doubts about the Company’s ability to continue as a going concern.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2026, the Company had cash and cash equivalents of approximately $2.1 million and a working capital balance of $74.1 million. In addition, the Company had receivable from withdrawal of investment deposit of $41.1 million and loan receivable from third parties of approximately $30.0 million, which can be sufficient for the Company to support its ongoing business operations and meet the obligations in the future.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Management has evaluated the Company’s ability to continue as a going concern in accordance with ASC 205-40, Presentation of Financial Statements – Going Concern. This evaluation considered the Company’s current financial condition, expected cash flows, obligations due within the next 12 months, and available sources of liquidity.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While management understands that the ability of the Company to continue as a going concern is dependent upon its ability to successfully execute its new business strategy and eventually attain profitable operations, management has concluded that there are no conditions or events that raise substantial doubt about the Company’s ability to continue as a going concern for at least one year from the issuance date of these consolidated financial statements. Accordingly, the Company’s consolidated financial statements as of June 30, 2026 have been prepared on a going concern basis.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Risks and uncertainties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undergoing a transformation of its business model. As a company located in the U.S. and doing business with the PRC and other international markets, the Company’s business, financial condition, and results of operations may be influenced by political, economic, and legal environments in the U.S., the PRC, and other jurisdictions in which it operates, as well as by the general state of the relevant economies. The Company’s results may be adversely affected by changes in political, regulatory, trade, tariff, and social conditions in these jurisdictions.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Risks and uncertainties related to the Company’s business include, but are not limited to,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shift from parallel-import vehicle sales to logistics and warehousing services and international trading may depend on factors relating to the business environment, operational management, market expansion, and the successful integration of newly acquired businesses;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policies relating to ocean freight, international trade, tariffs, import and export controls, and customs requirements may reduce market demand for the Company’s freight, logistics, warehousing, and international trading businesses, increase operating costs, or otherwise negatively affect the Company’s business and growth prospects;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logistics and warehousing and international trading businesses depend significantly on a limited number of customers and third-party transportation, labor, equipment supply, and other service providers;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adverse change in political relations between the PRC and the U.S., including ongoing trade conflicts between the U.S. and the PRC, may negatively affect the Company’s business;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in the logistics, warehousing, and international trading industries, based on factors such as service quality, speed, reliability, product availability, and pricing, may limit the Company’s ability to expand its non-vehicle logistics, warehousing, and international trading revenue. The Company’s success in these areas will depend on its ability to develop and scale an effective salesforce, maintain relationships with suppliers and customers, and effectively market its services and products in the U.S., the PRC, and other international markets.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business, financial condition, and results of operations may also be negatively impacted by risks related to natural disasters, extreme weather conditions, health epidemics, and other catastrophic incidents, which could significantly disrupt the Company’s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bookmarkStart w:id="775" w:name="Tc_8PZaWJKLYkqSru7UXK9-yQ_4_5"/>
      <w:bookmarkStart w:id="776" w:name="Tc_dJO_NMObeUS-F_0htKHCYA_4_2"/>
      <w:bookmarkStart w:id="777" w:name="Tc_IoixU9N3TEOMaih3oD38FA_4_0"/>
      <w:bookmarkStart w:id="778" w:name="Tc_WVWc_lWCpUmEN0MEpxuTLQ_3_5"/>
      <w:bookmarkStart w:id="779" w:name="Tc_yrTGGR6JfUulqfOr0k5dfw_3_2"/>
      <w:bookmarkStart w:id="780" w:name="Tc_6hicCEu0VU6utoWpkIF4bA_3_0"/>
      <w:bookmarkStart w:id="781" w:name="Tc_5RMJsk2DYUKOmzqcbOmV6Q_2_5"/>
      <w:bookmarkStart w:id="782" w:name="Tc_C1E2XwzwFEaJmNtnLxLydA_2_2"/>
      <w:bookmarkStart w:id="783" w:name="Tc_J5GOP5h1_UGd-aQueDdl8Q_1_5"/>
      <w:bookmarkStart w:id="784" w:name="Tc_bE0ShHyOwUCUveP2tFPTVA_1_2"/>
      <w:bookmarkEnd w:id="775"/>
      <w:bookmarkEnd w:id="776"/>
      <w:bookmarkEnd w:id="777"/>
      <w:bookmarkEnd w:id="778"/>
      <w:bookmarkEnd w:id="779"/>
      <w:bookmarkEnd w:id="780"/>
      <w:bookmarkEnd w:id="781"/>
      <w:bookmarkEnd w:id="782"/>
      <w:bookmarkEnd w:id="783"/>
      <w:bookmarkEnd w:id="784"/>
      <w:r>
        <w:rPr>
          <w:rFonts w:ascii="Times New Roman;Times;serif" w:hAnsi="Times New Roman;Times;serif"/>
          <w:b/>
          <w:i/>
          <w:sz w:val="20"/>
        </w:rPr>
        <w:t>Cash and cash equivalents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Cash and cash equivalents consist of cash in bank and interest-bearing certificates of deposit with an initial term of three months when purchased. As of June 30, 2026 and December 31, 2025, all cash and cash equivalents were related to continuing operations.</w:t>
      </w:r>
    </w:p>
    <w:p>
      <w:pPr>
        <w:pStyle w:val="TextBody"/>
        <w:bidi w:val="0"/>
        <w:spacing w:before="0" w:after="240"/>
        <w:ind w:left="0" w:right="0" w:hanging="0"/>
        <w:jc w:val="both"/>
        <w:rPr/>
      </w:pPr>
      <w:r>
        <w:rPr/>
        <w:t>​</w:t>
      </w:r>
    </w:p>
    <w:tbl>
      <w:tblPr>
        <w:tblW w:w="8795" w:type="dxa"/>
        <w:jc w:val="left"/>
        <w:tblInd w:w="0" w:type="dxa"/>
        <w:tblLayout w:type="fixed"/>
        <w:tblCellMar>
          <w:top w:w="0" w:type="dxa"/>
          <w:left w:w="0" w:type="dxa"/>
          <w:bottom w:w="0" w:type="dxa"/>
          <w:right w:w="0" w:type="dxa"/>
        </w:tblCellMar>
      </w:tblPr>
      <w:tblGrid>
        <w:gridCol w:w="5776"/>
        <w:gridCol w:w="346"/>
        <w:gridCol w:w="211"/>
        <w:gridCol w:w="931"/>
        <w:gridCol w:w="346"/>
        <w:gridCol w:w="228"/>
        <w:gridCol w:w="957"/>
      </w:tblGrid>
      <w:tr>
        <w:trPr/>
        <w:tc>
          <w:tcPr>
            <w:tcW w:w="5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3667760" cy="175260"/>
                      <wp:effectExtent l="0" t="0" r="0" b="0"/>
                      <wp:wrapNone/>
                      <wp:docPr id="81" name="Frame81"/>
                      <a:graphic xmlns:a="http://schemas.openxmlformats.org/drawingml/2006/main">
                        <a:graphicData uri="http://schemas.microsoft.com/office/word/2010/wordprocessingShape">
                          <wps:wsp>
                            <wps:cNvSpPr txBox="1"/>
                            <wps:spPr>
                              <a:xfrm>
                                <a:off x="0" y="0"/>
                                <a:ext cx="3667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19710" cy="175260"/>
                      <wp:effectExtent l="0" t="0" r="0" b="0"/>
                      <wp:wrapNone/>
                      <wp:docPr id="82" name="Frame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33985" cy="175260"/>
                      <wp:effectExtent l="0" t="0" r="0" b="0"/>
                      <wp:wrapNone/>
                      <wp:docPr id="83" name="Frame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591185" cy="175260"/>
                      <wp:effectExtent l="0" t="0" r="0" b="0"/>
                      <wp:wrapNone/>
                      <wp:docPr id="84" name="Frame8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19710" cy="175260"/>
                      <wp:effectExtent l="0" t="0" r="0" b="0"/>
                      <wp:wrapNone/>
                      <wp:docPr id="85" name="Frame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44780" cy="175260"/>
                      <wp:effectExtent l="0" t="0" r="0" b="0"/>
                      <wp:wrapNone/>
                      <wp:docPr id="86" name="Frame86"/>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07695" cy="175260"/>
                      <wp:effectExtent l="0" t="0" r="0" b="0"/>
                      <wp:wrapNone/>
                      <wp:docPr id="87" name="Frame87"/>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  ​ ​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57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held in Current Accounts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2,143,604</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233,217</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cash and cash equivalents shown in the statements of cash flows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2,143,604</w:t>
            </w:r>
          </w:p>
        </w:tc>
        <w:tc>
          <w:tcPr>
            <w:tcW w:w="346" w:type="dxa"/>
            <w:tcBorders/>
            <w:vAlign w:val="center"/>
          </w:tcPr>
          <w:p>
            <w:pPr>
              <w:pStyle w:val="TableContents"/>
              <w:bidi w:val="0"/>
              <w:spacing w:before="0" w:after="0"/>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233,217</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Accounts receivable, net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Accounts receivable represent the amounts that the Company has an unconditional right to consideration, which are stated at the original amount less an allowance of credit loss, in accordance with the Current Expected Credit Loss (“CECL”) model under ASC 326. The Company estimates expected credit losses based on a combination of historical loss experience, customer creditworthiness, current economic conditions, and reasonable and supportable forward-looking information. The allowance for credit losses is updated at each reporting period to reflect changes in credit risk. The allowance for credit losses is recorded against accounts receivable balances, with a corresponding charge to the consolidated statements of operations. Delinquent account balances are written off against the allowance when management determines that collection is remote. If previously written-off receivables are subsequently recovered, the Company records a reversal of the allowance for credit losses.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six months ended June 30, 2026 and 2025, no allowance for credit losses on accounts receivable from continuing operations was recorded. (See Note 6 – Discontinued Operations for further details.)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Inventory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Inventories primarily consist of construction machinery and related equipment purchased for resale. Inventories are stated at the lower of cost and net realizable value. Cost is determined using the specific identification method and includes the purchase price and other costs directly attributable to bringing the inventories to their present location and condition.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realizable value represents the estimated selling price in the ordinary course of business, less reasonably predictable costs. The Company evaluates inventories at each reporting date for indicators that their net realizable value may be below cost, including physical damage, obsolescence, changes in market demand, changes in estimated selling prices, and slow-moving inventory. Any write-down to net realizable value is recognized in cost of revenues in the period in which the decline occurs.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Loan receivable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loans receivable, which consist of loans to third parties, are recognized at the point of loan disbursement, initially measured at fair value, primarily reflecting the disbursed amount and associated transaction costs. Both secured and unsecured lending are encompassed in these receivables, with terms including varying interest rates and maturity dates. Subsequently, these receivables are measured at amortized cost using the effective interest method, which ensures the accurate recognition of interest income over the loan period. The interest rates for these loans may be subject to change based on the terms of loan agreements. Periodic reviews of the loan portfolio are conducted to assess for impairment, utilizing the expected credit loss model. This approach considers historical credit loss experience, current conditions, and reasonable forecasts in estimating potential credit losses. As of June 30, 2026 and December 31, 2025, no impairment allowance was recorded for the loan receivable.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Receivable from withdrawal of investment deposit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receivable from withdrawal of investment deposit is recognized when the underlying investment arrangement has been terminated, the Company no longer holds an ownership interest in the investee, and the counterparty has a contractual obligation to refund the Company’s capital contribution. The receivable is initially recognized at the amount contractually refundable to the Company and is subsequently measured at amortized cost, net of an allowance for expected credit losses, if any.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785" w:name="Tc_O5A_qG5j2UODkteGoeTkVQ_3_2"/>
      <w:bookmarkStart w:id="786" w:name="Tc_FY4B_Ov9GkCxXXe49nlYuA_3_0"/>
      <w:bookmarkStart w:id="787" w:name="Tc_y_qEDUotiE6xUEW_W1KQMg_2_0"/>
      <w:bookmarkStart w:id="788" w:name="Tc_HuGRty0TYEK73UBCt1V1ng_1_2"/>
      <w:bookmarkStart w:id="789" w:name="Tc_mfyZGuG4dUyJnfPZtHbXQg_1_0"/>
      <w:bookmarkEnd w:id="785"/>
      <w:bookmarkEnd w:id="786"/>
      <w:bookmarkEnd w:id="787"/>
      <w:bookmarkEnd w:id="788"/>
      <w:bookmarkEnd w:id="789"/>
      <w:r>
        <w:rPr>
          <w:rFonts w:ascii="Times New Roman;Times;serif" w:hAnsi="Times New Roman;Times;serif"/>
          <w:sz w:val="20"/>
        </w:rPr>
        <w:t>The Company evaluates the receivable for expected credit losses in accordance with ASC 326, Financial Instruments—Credit Losses, based on the counterparty’s repayment capacity, the contractual repayment terms, expected sources of repayment, subsequent collections, and other relevant facts and circumstances.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2026, the Company recorded a receivable from withdrawal of investment deposit of RMB 280,000,000, equivalent to approximately US$41,110,573, following the termination of the related partnership agreement. See Note 5 for additional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Based on the Company’s assessment, no allowance for expected credit losses was recorded as of June 30, 2026.</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Property, plant, and equipment, net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Property, plant, and equipment, net are stated at cost less accumulated depreciation and impairment charges. Depreciation is calculated primarily based on the straight-line method (after taking into account their respective estimated residual values) over the estimated useful lives of the assets:</w:t>
      </w:r>
    </w:p>
    <w:p>
      <w:pPr>
        <w:pStyle w:val="TextBody"/>
        <w:bidi w:val="0"/>
        <w:spacing w:before="0" w:after="240"/>
        <w:ind w:left="0" w:right="0" w:hanging="0"/>
        <w:jc w:val="both"/>
        <w:rPr/>
      </w:pPr>
      <w:r>
        <w:rPr/>
        <w:t>​</w:t>
      </w:r>
    </w:p>
    <w:tbl>
      <w:tblPr>
        <w:tblW w:w="4353" w:type="dxa"/>
        <w:jc w:val="left"/>
        <w:tblInd w:w="0" w:type="dxa"/>
        <w:tblLayout w:type="fixed"/>
        <w:tblCellMar>
          <w:top w:w="0" w:type="dxa"/>
          <w:left w:w="0" w:type="dxa"/>
          <w:bottom w:w="0" w:type="dxa"/>
          <w:right w:w="0" w:type="dxa"/>
        </w:tblCellMar>
      </w:tblPr>
      <w:tblGrid>
        <w:gridCol w:w="2401"/>
        <w:gridCol w:w="346"/>
        <w:gridCol w:w="1606"/>
      </w:tblGrid>
      <w:tr>
        <w:trPr/>
        <w:tc>
          <w:tcPr>
            <w:tcW w:w="2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524635" cy="29210"/>
                      <wp:effectExtent l="0" t="0" r="0" b="0"/>
                      <wp:wrapNone/>
                      <wp:docPr id="88" name="Frame88"/>
                      <a:graphic xmlns:a="http://schemas.openxmlformats.org/drawingml/2006/main">
                        <a:graphicData uri="http://schemas.microsoft.com/office/word/2010/wordprocessingShape">
                          <wps:wsp>
                            <wps:cNvSpPr txBox="1"/>
                            <wps:spPr>
                              <a:xfrm>
                                <a:off x="0" y="0"/>
                                <a:ext cx="15246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19710" cy="29210"/>
                      <wp:effectExtent l="0" t="0" r="0" b="0"/>
                      <wp:wrapNone/>
                      <wp:docPr id="89" name="Frame89"/>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019810" cy="29210"/>
                      <wp:effectExtent l="0" t="0" r="0" b="0"/>
                      <wp:wrapNone/>
                      <wp:docPr id="90" name="Frame90"/>
                      <a:graphic xmlns:a="http://schemas.openxmlformats.org/drawingml/2006/main">
                        <a:graphicData uri="http://schemas.microsoft.com/office/word/2010/wordprocessingShape">
                          <wps:wsp>
                            <wps:cNvSpPr txBox="1"/>
                            <wps:spPr>
                              <a:xfrm>
                                <a:off x="0" y="0"/>
                                <a:ext cx="10198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401"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b/>
                <w:sz w:val="16"/>
              </w:rPr>
            </w:pPr>
            <w:r>
              <w:rPr>
                <w:rFonts w:ascii="Times New Roman;Times;serif" w:hAnsi="Times New Roman;Times;serif"/>
                <w:b/>
                <w:sz w:val="16"/>
              </w:rPr>
              <w:t>Property, plant, and equipment</w:t>
            </w:r>
          </w:p>
        </w:tc>
        <w:tc>
          <w:tcPr>
            <w:tcW w:w="346"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pPr>
            <w:r>
              <w:rPr/>
              <w:t>  ​ ​ ​</w:t>
            </w:r>
          </w:p>
        </w:tc>
        <w:tc>
          <w:tcPr>
            <w:tcW w:w="1606"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b/>
                <w:sz w:val="16"/>
              </w:rPr>
            </w:pPr>
            <w:r>
              <w:rPr>
                <w:rFonts w:ascii="Times New Roman;Times;serif" w:hAnsi="Times New Roman;Times;serif"/>
                <w:b/>
                <w:sz w:val="16"/>
              </w:rPr>
              <w:t>Estimated useful life</w:t>
            </w:r>
          </w:p>
        </w:tc>
      </w:tr>
      <w:tr>
        <w:trPr/>
        <w:tc>
          <w:tcPr>
            <w:tcW w:w="2401" w:type="dxa"/>
            <w:tcBorders>
              <w:top w:val="single" w:sz="2" w:space="0" w:color="000000"/>
            </w:tcBorders>
            <w:shd w:fill="CCEEFF" w:val="clear"/>
            <w:tcMar>
              <w:top w:w="28" w:type="dxa"/>
            </w:tcM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Motor vehicles</w:t>
            </w:r>
          </w:p>
        </w:tc>
        <w:tc>
          <w:tcPr>
            <w:tcW w:w="346" w:type="dxa"/>
            <w:tcBorders/>
            <w:shd w:fill="CCEEFF" w:val="clear"/>
            <w:vAlign w:val="center"/>
          </w:tcPr>
          <w:p>
            <w:pPr>
              <w:pStyle w:val="TableContents"/>
              <w:bidi w:val="0"/>
              <w:spacing w:lineRule="auto" w:line="304" w:before="0" w:after="0"/>
              <w:ind w:left="0" w:right="0" w:hanging="0"/>
              <w:jc w:val="left"/>
              <w:rPr/>
            </w:pPr>
            <w:r>
              <w:rPr/>
              <w:t>​</w:t>
            </w:r>
          </w:p>
        </w:tc>
        <w:tc>
          <w:tcPr>
            <w:tcW w:w="1606" w:type="dxa"/>
            <w:tcBorders>
              <w:top w:val="single" w:sz="2" w:space="0" w:color="000000"/>
            </w:tcBorders>
            <w:shd w:fill="CCEEFF" w:val="clear"/>
            <w:tcMar>
              <w:top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10 years</w:t>
            </w:r>
          </w:p>
        </w:tc>
      </w:tr>
      <w:tr>
        <w:trPr/>
        <w:tc>
          <w:tcPr>
            <w:tcW w:w="2401" w:type="dxa"/>
            <w:tcBorders/>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46" w:type="dxa"/>
            <w:tcBorders/>
            <w:vAlign w:val="center"/>
          </w:tcPr>
          <w:p>
            <w:pPr>
              <w:pStyle w:val="TableContents"/>
              <w:bidi w:val="0"/>
              <w:spacing w:lineRule="auto" w:line="304" w:before="0" w:after="0"/>
              <w:ind w:left="0" w:right="0" w:hanging="0"/>
              <w:jc w:val="left"/>
              <w:rPr/>
            </w:pPr>
            <w:r>
              <w:rPr/>
              <w:t>​</w:t>
            </w:r>
          </w:p>
        </w:tc>
        <w:tc>
          <w:tcPr>
            <w:tcW w:w="160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3-6 years</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Expenditures for maintenance and repairs, which do not materially extend the useful lives of the assets, are charged to expenses as incurred. Expenditures for major renewals and betterments which substantially extend the useful life of assets are capitalized.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Intangible assets, net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recorded intangible assets with the acquisitions of TWEW during the fourth quarter of 2024 (see Note 9- Intangible Asset and Goodwill). Intangible assets consist of customer relationships, which are amortized on a straight-line basis or over their respective useful lives using patterns that reflect the economic benefits the assets are expected to realize. The Company reviews its intangible assets for impairment whenever events or changes in circumstances indicate that the carrying amount of the assets may not be recoverable.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Amortization of intangible assets is computed using the straight-line method over the estimated useful lives as below:</w:t>
      </w:r>
    </w:p>
    <w:p>
      <w:pPr>
        <w:pStyle w:val="TextBody"/>
        <w:bidi w:val="0"/>
        <w:spacing w:before="0" w:after="240"/>
        <w:ind w:left="0" w:right="0" w:hanging="0"/>
        <w:jc w:val="both"/>
        <w:rPr/>
      </w:pPr>
      <w:r>
        <w:rPr/>
        <w:t>​</w:t>
      </w:r>
    </w:p>
    <w:tbl>
      <w:tblPr>
        <w:tblW w:w="4094" w:type="dxa"/>
        <w:jc w:val="left"/>
        <w:tblInd w:w="0" w:type="dxa"/>
        <w:tblLayout w:type="fixed"/>
        <w:tblCellMar>
          <w:top w:w="0" w:type="dxa"/>
          <w:left w:w="0" w:type="dxa"/>
          <w:bottom w:w="0" w:type="dxa"/>
          <w:right w:w="0" w:type="dxa"/>
        </w:tblCellMar>
      </w:tblPr>
      <w:tblGrid>
        <w:gridCol w:w="1996"/>
        <w:gridCol w:w="346"/>
        <w:gridCol w:w="1561"/>
        <w:gridCol w:w="191"/>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267460" cy="29210"/>
                      <wp:effectExtent l="0" t="0" r="0" b="0"/>
                      <wp:wrapNone/>
                      <wp:docPr id="91" name="Frame91"/>
                      <a:graphic xmlns:a="http://schemas.openxmlformats.org/drawingml/2006/main">
                        <a:graphicData uri="http://schemas.microsoft.com/office/word/2010/wordprocessingShape">
                          <wps:wsp>
                            <wps:cNvSpPr txBox="1"/>
                            <wps:spPr>
                              <a:xfrm>
                                <a:off x="0" y="0"/>
                                <a:ext cx="12674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19710" cy="29210"/>
                      <wp:effectExtent l="0" t="0" r="0" b="0"/>
                      <wp:wrapNone/>
                      <wp:docPr id="92" name="Frame92"/>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991235" cy="29210"/>
                      <wp:effectExtent l="0" t="0" r="0" b="0"/>
                      <wp:wrapNone/>
                      <wp:docPr id="93" name="Frame93"/>
                      <a:graphic xmlns:a="http://schemas.openxmlformats.org/drawingml/2006/main">
                        <a:graphicData uri="http://schemas.microsoft.com/office/word/2010/wordprocessingShape">
                          <wps:wsp>
                            <wps:cNvSpPr txBox="1"/>
                            <wps:spPr>
                              <a:xfrm>
                                <a:off x="0" y="0"/>
                                <a:ext cx="9912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21285" cy="29210"/>
                      <wp:effectExtent l="0" t="0" r="0" b="0"/>
                      <wp:wrapNone/>
                      <wp:docPr id="94" name="Frame94"/>
                      <a:graphic xmlns:a="http://schemas.openxmlformats.org/drawingml/2006/main">
                        <a:graphicData uri="http://schemas.microsoft.com/office/word/2010/wordprocessingShape">
                          <wps:wsp>
                            <wps:cNvSpPr txBox="1"/>
                            <wps:spPr>
                              <a:xfrm>
                                <a:off x="0" y="0"/>
                                <a:ext cx="1212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996"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b/>
                <w:sz w:val="16"/>
              </w:rPr>
            </w:pPr>
            <w:r>
              <w:rPr>
                <w:rFonts w:ascii="Times New Roman;Times;serif" w:hAnsi="Times New Roman;Times;serif"/>
                <w:b/>
                <w:sz w:val="16"/>
              </w:rPr>
              <w:t>Intangible assets</w:t>
            </w:r>
          </w:p>
        </w:tc>
        <w:tc>
          <w:tcPr>
            <w:tcW w:w="346"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pPr>
            <w:r>
              <w:rPr/>
              <w:t>  ​ ​ ​</w:t>
            </w:r>
          </w:p>
        </w:tc>
        <w:tc>
          <w:tcPr>
            <w:tcW w:w="1561"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b/>
                <w:sz w:val="16"/>
              </w:rPr>
            </w:pPr>
            <w:r>
              <w:rPr>
                <w:rFonts w:ascii="Times New Roman;Times;serif" w:hAnsi="Times New Roman;Times;serif"/>
                <w:b/>
                <w:sz w:val="16"/>
              </w:rPr>
              <w:t>Estimated useful life</w:t>
            </w:r>
          </w:p>
        </w:tc>
        <w:tc>
          <w:tcPr>
            <w:tcW w:w="191"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pPr>
            <w:r>
              <w:rPr/>
              <w:t> </w:t>
            </w:r>
          </w:p>
        </w:tc>
      </w:tr>
      <w:tr>
        <w:trPr/>
        <w:tc>
          <w:tcPr>
            <w:tcW w:w="1996" w:type="dxa"/>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46" w:type="dxa"/>
            <w:tcBorders/>
            <w:shd w:fill="CCEEFF" w:val="clear"/>
            <w:vAlign w:val="center"/>
          </w:tcPr>
          <w:p>
            <w:pPr>
              <w:pStyle w:val="TableContents"/>
              <w:bidi w:val="0"/>
              <w:spacing w:lineRule="auto" w:line="304" w:before="0" w:after="0"/>
              <w:ind w:left="0" w:right="0" w:hanging="0"/>
              <w:jc w:val="left"/>
              <w:rPr/>
            </w:pPr>
            <w:r>
              <w:rPr/>
              <w:t>​</w:t>
            </w:r>
          </w:p>
        </w:tc>
        <w:tc>
          <w:tcPr>
            <w:tcW w:w="1561"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10-12 years</w:t>
            </w:r>
          </w:p>
        </w:tc>
        <w:tc>
          <w:tcPr>
            <w:tcW w:w="191" w:type="dxa"/>
            <w:tcBorders/>
            <w:shd w:fill="CCEEFF" w:val="clear"/>
            <w:vAlign w:val="center"/>
          </w:tcPr>
          <w:p>
            <w:pPr>
              <w:pStyle w:val="TableContents"/>
              <w:bidi w:val="0"/>
              <w:spacing w:lineRule="auto" w:line="304"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estimated useful lives of intangible assets with finite lives are reassessed if circumstances occur that indicate the original estimated useful lives have changed.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did not recognize any impairment to intangible assets for the six months ended June 30, 2026 and 2025.</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Fair value of financial instruments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 used to measure fair value are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inputs to the valuation methodology are quoted prices (unadjusted) for identical assets or liabilities in active markets.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inputs to the valuation methodology include quoted prices for similar assets and liabilities in active markets, quoted market prices for identical or similar assets in markets that are not active, inputs other than quoted prices that are observable and inputs derived from or corroborated by observable market data.</w:t>
            </w:r>
          </w:p>
        </w:tc>
      </w:tr>
    </w:tbl>
    <w:tbl>
      <w:tblPr>
        <w:tblW w:w="5886" w:type="dxa"/>
        <w:jc w:val="left"/>
        <w:tblInd w:w="0" w:type="dxa"/>
        <w:tblLayout w:type="fixed"/>
        <w:tblCellMar>
          <w:top w:w="28" w:type="dxa"/>
          <w:left w:w="28" w:type="dxa"/>
          <w:bottom w:w="28" w:type="dxa"/>
          <w:right w:w="28" w:type="dxa"/>
        </w:tblCellMar>
      </w:tblPr>
      <w:tblGrid>
        <w:gridCol w:w="124"/>
        <w:gridCol w:w="256"/>
        <w:gridCol w:w="55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inputs to the valuation methodology are unobservable.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Unless otherwise disclosed, the fair value of the Company’s financial instruments, including cash, accounts receivable, loans receivable, loans payable, and other payables and other current liabilities, approximated the fair value of the respective assets and liabilities as of June 30, 2026 and December 31, 2025 based upon the short-term nature of the assets and liabilities.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applied level 3 to obtain the fair value of intangible assets and goodwill. See NOTE 9 — Intangible Asset and Goodwill.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believes that the carrying amount of long-term loans approximated fair value as of June 30, 2026 and December 31, 2025 based on the terms of the borrowings and current market rates as the rates of the borrowings are reflective of the current market rates.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Leases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follows Financial Accounting Standards Board (“FASB”) Accounting Standards Codification (“ASC”) No. 842, Leases (“Topic 842”). The Company leases office space, which is classified as operating leases in accordance with Topic 842. Under Topic 842, lessees are required to recognize the following for all leases (with the exception of short-term leases, usually with an initial term of 12 months or less) on the commencement date: (i) lease liability, which is a lessee’s obligation to make lease payments arising from a lease, measured on a discounted basis; and (ii) right-of-use (“ROU”) asset, which is an asset that represents the lessee’s right to use, or control the use of, a specified asset for the lease term.</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At the commencement date, the Company recognizes the lease liability at the present value of the lease payments not yet paid, discounted using the interest rate implicit in the lease or, if that rate cannot be readily determined, the Company’s incremental borrowing rate for the same term as the underlying lease. The ROU asset is recognized initially at cost, which primarily comprises the initial amount of the lease liability, plus any initial direct costs incurred, consisting mainly of brokerage commissions, less any lease incentives received. All ROU assets are reviewed for impairment annually. There was no impairment for ROU lease assets for the six months ended June 30, 2026 and 2025.</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Contingent consideration asset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 contingent consideration asset is the acquirer’s contractual right to receive cash or other assets from the former owners of an acquiree if specified future events occur or conditions are met. The Company recognizes contingent consideration assets arising from business combinations in accordance with ASC 805, Business Combinations (“ASC 805”). The Company recognizes the acquisition-date fair value of such rights as part of the consideration transferred in exchange for the acquiree (ASC 805-30-25-5), and measures the right to receive cash on the same basis as a financial asset (ASC 805-30-25-7). Contingent consideration assets are presented as non-current assets on the consolidated balance sheet, separately from goodwill.</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Goodwill</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records goodwill as the excess of the consideration transferred over the fair value of net assets acquired in business combinations. Goodwill is tested for impairment at the reporting unit level, which is an operating segment, or one level below. The Company has one reporting unit. The Company measures goodwill impairment, if any, as the amount by which the carrying amount of the reporting unit exceeds its fair value, not to exceed the carrying amount of goodwill.</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review of goodwill impairment consists of either using a qualitative approach to determine whether it is more likely than not that the fair value of the assets is less than their respective carrying values or a one-step quantitative impairment test. In performing the qualitative assessment, the Company considers many factors in evaluating whether the carrying value of goodwill may not be recoverable, including declines in the Company’s stock price and market capitalization of the Company and macroeconomic conditions. If, based on the results of the qualitative assessment, it is concluded that it is not more likely than not that the fair value of a reporting unit exceeds its carrying value, additional quantitative impairment testing is performed. The quantitative test requires that the carrying value of each reporting unit be compared with its estimated fair value. If the carrying value of a reporting unit is greater than its fair value, a goodwill impairment charge will be recorded for the difference (up to the carrying value of goodwill). The Company uses the income approach and/or a market-based approach to determine the reporting units’ fair values, which are based on discounted cash flows. The determination of discounted cash flows of the reporting units and assets and liabilities within the reporting units requires significant estimates and assumptions. Due to the inherent uncertainty involved in making these estimates, actual results could differ from those estimates.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Impairment of long-lived assets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reviews long-lived assets to be held-and-used for impairment whenever events or changes in circumstances indicate that the carrying amount of the assets may not be recoverable. If an impairment indicator is present, the Company evaluates recoverability by comparing the carrying amount of the asset group to the sum of the undiscounted expected future cash flows over the remaining useful life of a long-lived asset group. If the assets are impaired, an impairment loss is measured as the amount by which the carrying amount of the asset group exceeds the fair value of the asset. The Company estimates fair value using the expected future cash flows discounted at a rate consistent with the risks associated with the recovery of the asset.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For the six months ended June 30, 2026 and 2025, the Company did not record any impairment.</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ASC 606 establishes principles for reporting information about the nature, amount, timing, and uncertainty of revenue and cash flows arising from the entity’s contracts to provide goods or services to customers. The core principle requires an entity to recognize revenue to depict the transfer of goods or services to customers in an amount that reflects the consideration that it expects to be entitled to receive in exchange for those goods or services recognized as performance obligations are satisfied. ASC 606 requires the use of a new five-step model to recognize revenue from customer contracts. The five-step model requires that the Company (i) identify the contract with the customer, (ii) identify the performance obligations in the contract, (iii) determine the transaction price, including variable consideration to the extent that it is probable that a significant future reversal will not occur, (iv) allocate the transaction price to the respective performance obligations in the contract, and (v) recognize revenue when (or as) the Company satisfies the performance obligation. The application of the five-step model to the revenue streams compared to the prior guidance did not result in significant changes in the way the Company records its revenue. Under the new guidance, revenue is recognized when a customer obtains control of promised goods or services and is recognized in an amount that reflects the consideration which the entity expects to receive in exchange for those goods or services. In addition, the new guidance requires disclosure of the nature, amount, timing, and uncertainty of revenue and cash flows arising from contracts with customers.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generated revenues from freight forwarding services provided by Edward and general labor and logistics provided by TWEW to corporate and retail clients, including transportation, cargo warehousing, freight forwarding, labor service, and cargo loading and unloading, and international trading services provided through Cheetah and Super International, primarily involving the purchase and resale of construction machinery to trading and export customers.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Revenue for freight forwarding services, both export and import, is recognized when the services are provided. The Company’s role as the principal in these services involves managing the process up to the point where control is transferred based on contractual terms, allowing revenue recognition on a gross basis throughout the transit period. For warehousing services, revenue is primarily derived from storage fees, which are recognized based on the actual number of days the goods are stored in the warehouse while awaiting further transportation. Across all operations, the Company maintains a principal position, controlling the goods and services, bearing inventory and pricing risks, and fulfilling performance obligations directly. Each contract is typically structured with a single performance obligation without allowances for returns or sales incentives. There were no provisions for sales return allowances based on historical experiences of no returns. Following the disposal of Edward on April 1, 2026, the Company ceased its freight forwarding operations conducted through Edward.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Revenue from general labor and logistics services, provided through TWEW, is recognized upon services rendered, based on verified labor hours or project milestones outlined in client agreements, with billing tied to predefined service rates (e.g., per-hour fees or fixed-scope pricing). The Company recognize revenue on a gross basis as the principal service provider, reflecting its contractual obligation to deliver labor solutions to clients, despite outsourcing workforce operations to third parties. Contracts generally consist of a single performance obligation (supplying labor resources), with revenue measured at the transaction price agreed upon in service agreements. No provisions for returns or sales incentives are included, as historical experience indicates no material rights of return or refunds.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Revenue from international trading, provided through Cheetah and Super International, is recognized at a point in time when control of construction machinery transfers to trading and export customers, generally upon pickup at the Company’s designated warehouse under EXW terms. The Company acts as the principal in these transactions, taking legal title to and bearing inventory risk on equipment purchased from suppliers prior to resale, and therefore recognizes revenue on a gross basis. Each contract represents a single performance obligation, with a fixed transaction price and no provisions for sales returns based on historical experience.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bookmarkStart w:id="790" w:name="Tc_gVXN08FZUkOP5ME8mgWPvw_6_11"/>
      <w:bookmarkStart w:id="791" w:name="Tc_S0BnstnzXky6zwv7LGrnwg_6_8"/>
      <w:bookmarkStart w:id="792" w:name="Tc_-MY3T4Grg0uPrLHo1B0lhg_6_5"/>
      <w:bookmarkStart w:id="793" w:name="Tc_V15fRfWWW0ynUv7Azm9-CQ_6_2"/>
      <w:bookmarkStart w:id="794" w:name="Tc_4k2P99zXyEymdyyBVeK1cQ_6_0"/>
      <w:bookmarkStart w:id="795" w:name="Tc_5SWtRcz2KU6Qsm4_ORNNmg_5_0"/>
      <w:bookmarkStart w:id="796" w:name="Tc_e9X_spGZiUCHYEj9mZXcuA_4_11"/>
      <w:bookmarkStart w:id="797" w:name="Tc_AJ2aSMgXjkGa-UdtxYwMPA_4_8"/>
      <w:bookmarkStart w:id="798" w:name="Tc_5zBO327eL0qijDJik_PqHg_4_5"/>
      <w:bookmarkStart w:id="799" w:name="Tc_Ob2w4TEQXEi454tfqB5XhQ_4_3"/>
      <w:bookmarkStart w:id="800" w:name="Tc_GC8MxxWKCU6rGPR0CJeE8Q_4_2"/>
      <w:bookmarkStart w:id="801" w:name="Tc_oe_sgubJekW25XVAOdII3Q_4_0"/>
      <w:bookmarkStart w:id="802" w:name="Tc_zHgGt5Cwt0imqRMdeluhJQ_3_11"/>
      <w:bookmarkStart w:id="803" w:name="Tc_4tGr2nNwlUeOkFWaG669xA_3_8"/>
      <w:bookmarkStart w:id="804" w:name="Tc_dCWHAMBKZUu24-O4aPBnug_3_5"/>
      <w:bookmarkStart w:id="805" w:name="Tc_d3t73BUWokK-RYclbX1peA_3_2"/>
      <w:bookmarkStart w:id="806" w:name="Tc_Ji9fqqFXi02epj8rzeg3qQ_2_8"/>
      <w:bookmarkStart w:id="807" w:name="Tc_divMbNbRz0-H7FHNJEsTrg_2_2"/>
      <w:bookmarkStart w:id="808" w:name="Tc_7q2-JZBCe0yU37r4ZSKRdg_1_8"/>
      <w:bookmarkStart w:id="809" w:name="Tc_iAb8JXGtM0K4NXVNdZ5YWg_1_2"/>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r>
        <w:rPr>
          <w:rFonts w:ascii="Times New Roman;Times;serif" w:hAnsi="Times New Roman;Times;serif"/>
          <w:i/>
          <w:sz w:val="20"/>
        </w:rPr>
        <w:t>Disaggregation of Revenue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disaggregates its revenue by geographic areas, as the Company believes it best depicts how the nature, amount, timing, and uncertainty of the revenue and cash flows are affected by economic factors.</w:t>
      </w:r>
    </w:p>
    <w:p>
      <w:pPr>
        <w:pStyle w:val="TextBody"/>
        <w:bidi w:val="0"/>
        <w:spacing w:before="0" w:after="240"/>
        <w:ind w:left="0" w:right="0" w:hanging="0"/>
        <w:jc w:val="both"/>
        <w:rPr/>
      </w:pPr>
      <w:r>
        <w:rPr/>
        <w:t>​</w:t>
      </w:r>
    </w:p>
    <w:tbl>
      <w:tblPr>
        <w:tblW w:w="7288" w:type="dxa"/>
        <w:jc w:val="left"/>
        <w:tblInd w:w="0" w:type="dxa"/>
        <w:tblLayout w:type="fixed"/>
        <w:tblCellMar>
          <w:top w:w="0" w:type="dxa"/>
          <w:left w:w="0" w:type="dxa"/>
          <w:bottom w:w="0" w:type="dxa"/>
          <w:right w:w="0" w:type="dxa"/>
        </w:tblCellMar>
      </w:tblPr>
      <w:tblGrid>
        <w:gridCol w:w="1831"/>
        <w:gridCol w:w="346"/>
        <w:gridCol w:w="211"/>
        <w:gridCol w:w="781"/>
        <w:gridCol w:w="346"/>
        <w:gridCol w:w="211"/>
        <w:gridCol w:w="781"/>
        <w:gridCol w:w="346"/>
        <w:gridCol w:w="211"/>
        <w:gridCol w:w="781"/>
        <w:gridCol w:w="346"/>
        <w:gridCol w:w="211"/>
        <w:gridCol w:w="886"/>
      </w:tblGrid>
      <w:tr>
        <w:trPr/>
        <w:tc>
          <w:tcPr>
            <w:tcW w:w="1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162685" cy="175260"/>
                      <wp:effectExtent l="0" t="0" r="0" b="0"/>
                      <wp:wrapNone/>
                      <wp:docPr id="95" name="Frame95"/>
                      <a:graphic xmlns:a="http://schemas.openxmlformats.org/drawingml/2006/main">
                        <a:graphicData uri="http://schemas.microsoft.com/office/word/2010/wordprocessingShape">
                          <wps:wsp>
                            <wps:cNvSpPr txBox="1"/>
                            <wps:spPr>
                              <a:xfrm>
                                <a:off x="0" y="0"/>
                                <a:ext cx="1162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19710" cy="175260"/>
                      <wp:effectExtent l="0" t="0" r="0" b="0"/>
                      <wp:wrapNone/>
                      <wp:docPr id="96" name="Frame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33985" cy="175260"/>
                      <wp:effectExtent l="0" t="0" r="0" b="0"/>
                      <wp:wrapNone/>
                      <wp:docPr id="97" name="Frame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495935" cy="175260"/>
                      <wp:effectExtent l="0" t="0" r="0" b="0"/>
                      <wp:wrapNone/>
                      <wp:docPr id="98" name="Frame9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19710" cy="175260"/>
                      <wp:effectExtent l="0" t="0" r="0" b="0"/>
                      <wp:wrapNone/>
                      <wp:docPr id="99" name="Frame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33985" cy="175260"/>
                      <wp:effectExtent l="0" t="0" r="0" b="0"/>
                      <wp:wrapNone/>
                      <wp:docPr id="100" name="Frame1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495935" cy="175260"/>
                      <wp:effectExtent l="0" t="0" r="0" b="0"/>
                      <wp:wrapNone/>
                      <wp:docPr id="101" name="Frame10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19710" cy="175260"/>
                      <wp:effectExtent l="0" t="0" r="0" b="0"/>
                      <wp:wrapNone/>
                      <wp:docPr id="102" name="Frame1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33985" cy="175260"/>
                      <wp:effectExtent l="0" t="0" r="0" b="0"/>
                      <wp:wrapNone/>
                      <wp:docPr id="103" name="Frame1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495935" cy="175260"/>
                      <wp:effectExtent l="0" t="0" r="0" b="0"/>
                      <wp:wrapNone/>
                      <wp:docPr id="104" name="Frame10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19710" cy="175260"/>
                      <wp:effectExtent l="0" t="0" r="0" b="0"/>
                      <wp:wrapNone/>
                      <wp:docPr id="105" name="Frame1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33985" cy="175260"/>
                      <wp:effectExtent l="0" t="0" r="0" b="0"/>
                      <wp:wrapNone/>
                      <wp:docPr id="106" name="Frame1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562610" cy="175260"/>
                      <wp:effectExtent l="0" t="0" r="0" b="0"/>
                      <wp:wrapNone/>
                      <wp:docPr id="107" name="Frame10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3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center"/>
              <w:rPr/>
            </w:pPr>
            <w:r>
              <w:rPr/>
              <w:t>  ​ ​ ​</w:t>
            </w:r>
          </w:p>
        </w:tc>
        <w:tc>
          <w:tcPr>
            <w:tcW w:w="243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18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24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18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8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domestic market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333,591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79,530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798,474</w:t>
            </w:r>
          </w:p>
        </w:tc>
      </w:tr>
      <w:tr>
        <w:trPr/>
        <w:tc>
          <w:tcPr>
            <w:tcW w:w="18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Overseas market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868,909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20,535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882,079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35,451</w:t>
            </w:r>
          </w:p>
        </w:tc>
      </w:tr>
      <w:tr>
        <w:trPr/>
        <w:tc>
          <w:tcPr>
            <w:tcW w:w="18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868,909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354,126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961,609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833,925</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three months ended June 30, 2026, the Company’s total revenue from continuing operations was $868,909, increased by $514,783 from $354,126 for the same period in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six months ended June 30, 2026, total revenue from continuing operations was $961,609, an increase of $127,684 from $833,925 for the same period in 2025. This growth was primarily driven by the acquisition of Super International in May 2026, whose operations are entirely focused on the overseas market.</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Cost of Revenues</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Logistics and Warehousing Segment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Cost of logistics and warehousing service revenue mainly includes the cost of freight and fulfillment expenses for freight forwarding services, while cost of labor services comprises payments to third parties for outsourced workforce provisioning, including bundled recruitment, training, and payroll processing. Cost recognition aligns with service delivery progress, validated through subcontractor utilization reports and client acceptance documentation.</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International Trading Segment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Cost of international trading revenue mainly includes the purchase cost of construction machinery acquired from suppliers, together with related inbound freight and handling charges incurred prior to resale. Cost is recognized in the same period as the related revenue, upon transfer of control of the equipment to the customer.</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General and Administration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general and administrative expenses for the continuing operations primarily include employee salaries and benefits, depreciation and amortization, office lease expenses, travelling and entertainment expenses, legal and consulting fees, insurance and other miscellaneous administrative expenses. For the three and six months ended June 30, 2026, general and administration expenses for the continuing operations were $887,115 and $1,657,119, respectively. For the three and six months ended June 30, 2025, general and administration expenses for the continuing operations were $805,305 and $1,805,824, respectively.</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Share-based Compensation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adopted its Amended and Restated 2024 Stock Incentive Plan (the “Plan”), for the purpose of providing incentives and rewards to eligible participants who contribute to the success of the Company’s operations. Shareholders, directors, and employees of the Company receive remuneration in the form of share-based awards including option, restricted stock, restricted stock unit, dividend equivalent, or other awards that are permitted under the Plan, whereby the recipients render services as consideration for such share-based compensation.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810" w:name="Tc_H1ahOl_F7ECKnCyQ4GNm9A_6_8"/>
      <w:bookmarkStart w:id="811" w:name="Tc_B4UnRjgg9kWX0fx1-eVsBQ_6_6"/>
      <w:bookmarkStart w:id="812" w:name="Tc_RxZrW32LW0-YWtBzgAc9UA_6_2"/>
      <w:bookmarkStart w:id="813" w:name="Tc_juKdtL0obk2yuuiO_riCvw_6_0"/>
      <w:bookmarkStart w:id="814" w:name="Tc_B_Q7AopnLEOkWkfvczAImg_5_3"/>
      <w:bookmarkStart w:id="815" w:name="Tc_ZatHPM_XbEqzwXbXptMwYw_5_0"/>
      <w:bookmarkStart w:id="816" w:name="Tc_hPJBysP96UWGU0Ym3X98EA_4_8"/>
      <w:bookmarkStart w:id="817" w:name="Tc_XdYIo62sfkivsp7KiDI40w_4_2"/>
      <w:bookmarkStart w:id="818" w:name="Tc_hSIPriAI20iE1VjfeaNXDw_4_0"/>
      <w:bookmarkStart w:id="819" w:name="Tc_0o9tB3PY7UO2kcrANHb4Mg_3_0"/>
      <w:bookmarkStart w:id="820" w:name="Tc_Aul3B4JU3EaRyZqzMMG-Qw_2_8"/>
      <w:bookmarkStart w:id="821" w:name="Tc_5FpN4TbDCEmw9nkSn-PHCg_2_5"/>
      <w:bookmarkStart w:id="822" w:name="Tc_0sMwKTbH4kCt9vYIi3QrfA_2_2"/>
      <w:bookmarkStart w:id="823" w:name="Tc_NmurQklzJUmUU9gudDXV5A_1_2"/>
      <w:bookmarkStart w:id="824" w:name="_e06bead8_57b2_49d1_acbc_7b756192deb2"/>
      <w:bookmarkStart w:id="825" w:name="_1de0bf90_ae96_4954_848c_dd292a6490f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r>
        <w:rPr>
          <w:rFonts w:ascii="Times New Roman;Times;serif" w:hAnsi="Times New Roman;Times;serif"/>
          <w:sz w:val="20"/>
        </w:rPr>
        <w:t>The Company measures the cost of employee services received in exchange for an award of equity instruments based on the grant-date fair value of the award and recognizes the cost over the period during which the employee is required to provide service in exchange for the award, which generally is the vesting period. The amount of cost recognized is adjusted to reflect any expected forfeitures prior to vesting. The fair value of stock award is measured at grant date’s per share closing price of the Company’s common stock, and the fair value of option is measured at grant date using the Black-Scholes pricing model, taking into account the terms and conditions upon which the share-based awards are granted. Where the employees have to meet vesting conditions before becoming unconditionally entitled to the share-based awards, the total estimated fair value of the share-based awards is spread over the vesting period, taking into account the probability that the share-based awards will vest, provided that the cumulative amount of compensation cost recognized at any date at least equals the portion of the grant-date value of such award that is vested at that date.</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accounts for income taxes under the asset and liability method, recognizing deferred tax assets and liabilities based on temporary differences between financial statement and tax bases of assets and liabilities, using enacted tax rates expected to apply when these differences reverse. The impact of tax rate changes is recorded in the period of enactment.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assesses deferred tax assets to determine whether they are realizable. As of June 30, 2026, the Company recorded a full valuation allowance against deferred tax assets, as it has generated a three-year cumulative pretax book loss and is forecasting a loss for 2026. Based on this evidence, realization of deferred tax assets is not considered more-likely-than-not at this time.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records uncertain tax positions in accordance with ASC 740, using a two-step process to determine whether tax positions will be sustained. The Company has concluded that there are no uncertain tax positions requiring recognition as of June 30, 2026 and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not subject to the Section 163(j) interest expense limitation, as it qualifies for an exception due to floor plan financing indebtedness.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monitors tax law changes and has determined that no recent changes materially impact the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and its U.S. operating subsidiaries are subject to U.S. federal and state income tax laws. Prior to the corporate conversion in 2022, the Company was organized as a limited liability company (“LLC”) and elected to be treated as a corporation for U.S. federal income tax purposes from the tax year ended December 31, 2020.</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2026, the Company’s consolidated income tax returns for the tax years ended December 31, 2022 through December 31, 2025 remained open for statutory examination by U.S. tax authorities.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(Loss) Earnings per share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computes (loss) earnings per share (“EPS”) in accordance with ASC 260, “Earnings per Share” (“ASC 260”). ASC 260 requires companies with complex capital structures to present basic and diluted EPS. Basic EPS is measured as net income divided by the weighted average common shares outstanding for the period. Diluted EPS presents the dilutive effect on a per share basis of potential common shares (e.g., convertible securities, options, and warrants) as if they had been converted at the beginning of the periods presented, or issuance date, if later. Potential common shares that have an anti-dilutive effect (i.e., those that increase income per share or decrease loss per share) are excluded from the calculation of diluted EPS. For the six months ended June 30, 2026 and 2025, there were no dilutive shares outstanding, as presented in the tables below:</w:t>
      </w:r>
    </w:p>
    <w:p>
      <w:pPr>
        <w:pStyle w:val="TextBody"/>
        <w:bidi w:val="0"/>
        <w:spacing w:before="0" w:after="0"/>
        <w:ind w:left="0" w:right="0" w:hanging="0"/>
        <w:jc w:val="left"/>
        <w:rPr/>
      </w:pPr>
      <w:r>
        <w:rPr/>
        <w:t>​</w:t>
      </w:r>
    </w:p>
    <w:tbl>
      <w:tblPr>
        <w:tblW w:w="9057" w:type="dxa"/>
        <w:jc w:val="left"/>
        <w:tblInd w:w="0" w:type="dxa"/>
        <w:tblLayout w:type="fixed"/>
        <w:tblCellMar>
          <w:top w:w="0" w:type="dxa"/>
          <w:left w:w="0" w:type="dxa"/>
          <w:bottom w:w="0" w:type="dxa"/>
          <w:right w:w="0" w:type="dxa"/>
        </w:tblCellMar>
      </w:tblPr>
      <w:tblGrid>
        <w:gridCol w:w="4426"/>
        <w:gridCol w:w="346"/>
        <w:gridCol w:w="211"/>
        <w:gridCol w:w="901"/>
        <w:gridCol w:w="346"/>
        <w:gridCol w:w="109"/>
        <w:gridCol w:w="931"/>
        <w:gridCol w:w="346"/>
        <w:gridCol w:w="388"/>
        <w:gridCol w:w="1053"/>
      </w:tblGrid>
      <w:tr>
        <w:trPr/>
        <w:tc>
          <w:tcPr>
            <w:tcW w:w="4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810510" cy="175260"/>
                      <wp:effectExtent l="0" t="0" r="0" b="0"/>
                      <wp:wrapNone/>
                      <wp:docPr id="108" name="Frame108"/>
                      <a:graphic xmlns:a="http://schemas.openxmlformats.org/drawingml/2006/main">
                        <a:graphicData uri="http://schemas.microsoft.com/office/word/2010/wordprocessingShape">
                          <wps:wsp>
                            <wps:cNvSpPr txBox="1"/>
                            <wps:spPr>
                              <a:xfrm>
                                <a:off x="0" y="0"/>
                                <a:ext cx="2810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19710" cy="175260"/>
                      <wp:effectExtent l="0" t="0" r="0" b="0"/>
                      <wp:wrapNone/>
                      <wp:docPr id="109" name="Frame1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33985" cy="175260"/>
                      <wp:effectExtent l="0" t="0" r="0" b="0"/>
                      <wp:wrapNone/>
                      <wp:docPr id="110" name="Frame1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572135" cy="175260"/>
                      <wp:effectExtent l="0" t="0" r="0" b="0"/>
                      <wp:wrapNone/>
                      <wp:docPr id="111" name="Frame111"/>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19710" cy="175260"/>
                      <wp:effectExtent l="0" t="0" r="0" b="0"/>
                      <wp:wrapNone/>
                      <wp:docPr id="112" name="Frame1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9215" cy="175260"/>
                      <wp:effectExtent l="0" t="0" r="0" b="0"/>
                      <wp:wrapNone/>
                      <wp:docPr id="113" name="Frame1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591185" cy="175260"/>
                      <wp:effectExtent l="0" t="0" r="0" b="0"/>
                      <wp:wrapNone/>
                      <wp:docPr id="114" name="Frame11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9710" cy="175260"/>
                      <wp:effectExtent l="0" t="0" r="0" b="0"/>
                      <wp:wrapNone/>
                      <wp:docPr id="115" name="Frame1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46380" cy="175260"/>
                      <wp:effectExtent l="0" t="0" r="0" b="0"/>
                      <wp:wrapNone/>
                      <wp:docPr id="116" name="Frame116"/>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68655" cy="175260"/>
                      <wp:effectExtent l="0" t="0" r="0" b="0"/>
                      <wp:wrapNone/>
                      <wp:docPr id="117" name="Frame117"/>
                      <a:graphic xmlns:a="http://schemas.openxmlformats.org/drawingml/2006/main">
                        <a:graphicData uri="http://schemas.microsoft.com/office/word/2010/wordprocessingShape">
                          <wps:wsp>
                            <wps:cNvSpPr txBox="1"/>
                            <wps:spPr>
                              <a:xfrm>
                                <a:off x="0" y="0"/>
                                <a:ext cx="668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4285"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44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46" w:type="dxa"/>
            <w:tcBorders/>
            <w:vAlign w:val="center"/>
          </w:tcPr>
          <w:p>
            <w:pPr>
              <w:pStyle w:val="TableContents"/>
              <w:bidi w:val="0"/>
              <w:spacing w:before="0" w:after="0"/>
              <w:ind w:left="0" w:right="0" w:hanging="0"/>
              <w:jc w:val="center"/>
              <w:rPr/>
            </w:pPr>
            <w:r>
              <w:rPr/>
              <w:t>  ​ ​ ​</w:t>
            </w:r>
          </w:p>
        </w:tc>
        <w:tc>
          <w:tcPr>
            <w:tcW w:w="10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w:t>
            </w:r>
          </w:p>
        </w:tc>
        <w:tc>
          <w:tcPr>
            <w:tcW w:w="346" w:type="dxa"/>
            <w:tcBorders/>
            <w:vAlign w:val="center"/>
          </w:tcPr>
          <w:p>
            <w:pPr>
              <w:pStyle w:val="TableContents"/>
              <w:bidi w:val="0"/>
              <w:spacing w:before="0" w:after="0"/>
              <w:ind w:left="0" w:right="0" w:hanging="0"/>
              <w:jc w:val="center"/>
              <w:rPr/>
            </w:pPr>
            <w:r>
              <w:rPr/>
              <w:t>  ​ ​ ​</w:t>
            </w:r>
          </w:p>
        </w:tc>
        <w:tc>
          <w:tcPr>
            <w:tcW w:w="14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 share amount</w:t>
            </w:r>
          </w:p>
        </w:tc>
      </w:tr>
      <w:tr>
        <w:trPr/>
        <w:tc>
          <w:tcPr>
            <w:tcW w:w="4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EPS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388" w:type="dxa"/>
            <w:tcBorders/>
            <w:shd w:fill="CCEEFF" w:val="clear"/>
            <w:vAlign w:val="center"/>
          </w:tcPr>
          <w:p>
            <w:pPr>
              <w:pStyle w:val="TableContents"/>
              <w:bidi w:val="0"/>
              <w:spacing w:before="0" w:after="0"/>
              <w:ind w:left="0" w:right="0" w:hanging="0"/>
              <w:jc w:val="left"/>
              <w:rPr/>
            </w:pPr>
            <w:r>
              <w:rPr/>
              <w:t>​</w:t>
            </w:r>
          </w:p>
        </w:tc>
        <w:tc>
          <w:tcPr>
            <w:tcW w:w="1053" w:type="dxa"/>
            <w:tcBorders/>
            <w:shd w:fill="CCEEFF" w:val="clear"/>
            <w:vAlign w:val="center"/>
          </w:tcPr>
          <w:p>
            <w:pPr>
              <w:pStyle w:val="TableContents"/>
              <w:bidi w:val="0"/>
              <w:spacing w:before="0" w:after="0"/>
              <w:ind w:left="0" w:right="0" w:hanging="0"/>
              <w:jc w:val="right"/>
              <w:rPr/>
            </w:pPr>
            <w:r>
              <w:rPr/>
              <w:t>  ​</w:t>
            </w:r>
          </w:p>
        </w:tc>
      </w:tr>
      <w:tr>
        <w:trPr/>
        <w:tc>
          <w:tcPr>
            <w:tcW w:w="4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continuing operations per ordinary share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(545,220)</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1,027,682</w:t>
            </w:r>
          </w:p>
        </w:tc>
        <w:tc>
          <w:tcPr>
            <w:tcW w:w="346" w:type="dxa"/>
            <w:tcBorders/>
            <w:vAlign w:val="center"/>
          </w:tcPr>
          <w:p>
            <w:pPr>
              <w:pStyle w:val="TableContents"/>
              <w:bidi w:val="0"/>
              <w:spacing w:before="0" w:after="0"/>
              <w:ind w:left="0" w:right="0" w:hanging="0"/>
              <w:jc w:val="left"/>
              <w:rPr/>
            </w:pPr>
            <w:r>
              <w:rPr/>
              <w:t>​</w:t>
            </w:r>
          </w:p>
        </w:tc>
        <w:tc>
          <w:tcPr>
            <w:tcW w:w="38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(0.53)</w:t>
            </w:r>
          </w:p>
        </w:tc>
      </w:tr>
      <w:tr>
        <w:trPr/>
        <w:tc>
          <w:tcPr>
            <w:tcW w:w="4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discontinued operations per ordinary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1,027,682</w:t>
            </w:r>
          </w:p>
        </w:tc>
        <w:tc>
          <w:tcPr>
            <w:tcW w:w="346" w:type="dxa"/>
            <w:tcBorders/>
            <w:shd w:fill="CCEEFF" w:val="clear"/>
            <w:vAlign w:val="center"/>
          </w:tcPr>
          <w:p>
            <w:pPr>
              <w:pStyle w:val="TableContents"/>
              <w:bidi w:val="0"/>
              <w:spacing w:before="0" w:after="0"/>
              <w:ind w:left="0" w:right="0" w:hanging="0"/>
              <w:jc w:val="left"/>
              <w:rPr/>
            </w:pPr>
            <w:r>
              <w:rPr/>
              <w:t>​</w:t>
            </w:r>
          </w:p>
        </w:tc>
        <w:tc>
          <w:tcPr>
            <w:tcW w:w="3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0.00</w:t>
            </w:r>
          </w:p>
        </w:tc>
      </w:tr>
      <w:tr>
        <w:trPr/>
        <w:tc>
          <w:tcPr>
            <w:tcW w:w="4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 per ordinary share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(545,220)</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(0.53)</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826" w:name="Narr_QHuigNkdNUK1NooulnObUA"/>
      <w:bookmarkStart w:id="827" w:name="Tc_TCPR7mTCRkCkytuGmGELNw_6_8"/>
      <w:bookmarkStart w:id="828" w:name="Tc_Y00BU-wFzk2aMKfjVCYjAQ_6_6"/>
      <w:bookmarkStart w:id="829" w:name="Tc_GnFb7tlzDEeJvCBTv4uY4A_6_2"/>
      <w:bookmarkStart w:id="830" w:name="Tc_HI8LP_Xg9EuUM_AdObTm_w_6_0"/>
      <w:bookmarkStart w:id="831" w:name="Tc_K-qBfiuLrE61obHOyPcm3A_5_3"/>
      <w:bookmarkStart w:id="832" w:name="Tc_GM8swyV-j06jR_HhevQ5uQ_5_0"/>
      <w:bookmarkStart w:id="833" w:name="Tc_JpQNy0oeh0qSGakFVnUU1Q_4_8"/>
      <w:bookmarkStart w:id="834" w:name="Tc_AlJfN8eyQ0OSUOFI-KROjg_4_2"/>
      <w:bookmarkStart w:id="835" w:name="Tc_wLccZFQVhUy4Cy9pZYp2rw_4_0"/>
      <w:bookmarkStart w:id="836" w:name="Tc_IWxUwO-IukK5sAsVv3EDaQ_3_0"/>
      <w:bookmarkStart w:id="837" w:name="Tc_1Gt7ybRz3kOxT7-mirwJNA_2_8"/>
      <w:bookmarkStart w:id="838" w:name="Tc_P_9ctmP-lEOs-_iTFvkvCw_2_5"/>
      <w:bookmarkStart w:id="839" w:name="Tc_B_0Sv_nC70Ki1lf3P9n4bw_2_2"/>
      <w:bookmarkStart w:id="840" w:name="Tc_eVoRUcyU0U6p48cx5usnIQ_1_2"/>
      <w:bookmarkStart w:id="841" w:name="_5297a640_115c_41c4_8296_6616377ce86c"/>
      <w:bookmarkStart w:id="842" w:name="_137366d8_5c02_46ba_9a5c_8ad1d399dc0b"/>
      <w:bookmarkStart w:id="843" w:name="Narr_QHuigNkdNUK1NooulnObUA"/>
      <w:bookmarkStart w:id="844" w:name="Tc_TCPR7mTCRkCkytuGmGELNw_6_8"/>
      <w:bookmarkStart w:id="845" w:name="Tc_Y00BU-wFzk2aMKfjVCYjAQ_6_6"/>
      <w:bookmarkStart w:id="846" w:name="Tc_GnFb7tlzDEeJvCBTv4uY4A_6_2"/>
      <w:bookmarkStart w:id="847" w:name="Tc_HI8LP_Xg9EuUM_AdObTm_w_6_0"/>
      <w:bookmarkStart w:id="848" w:name="Tc_K-qBfiuLrE61obHOyPcm3A_5_3"/>
      <w:bookmarkStart w:id="849" w:name="Tc_GM8swyV-j06jR_HhevQ5uQ_5_0"/>
      <w:bookmarkStart w:id="850" w:name="Tc_JpQNy0oeh0qSGakFVnUU1Q_4_8"/>
      <w:bookmarkStart w:id="851" w:name="Tc_AlJfN8eyQ0OSUOFI-KROjg_4_2"/>
      <w:bookmarkStart w:id="852" w:name="Tc_wLccZFQVhUy4Cy9pZYp2rw_4_0"/>
      <w:bookmarkStart w:id="853" w:name="Tc_IWxUwO-IukK5sAsVv3EDaQ_3_0"/>
      <w:bookmarkStart w:id="854" w:name="Tc_1Gt7ybRz3kOxT7-mirwJNA_2_8"/>
      <w:bookmarkStart w:id="855" w:name="Tc_P_9ctmP-lEOs-_iTFvkvCw_2_5"/>
      <w:bookmarkStart w:id="856" w:name="Tc_B_0Sv_nC70Ki1lf3P9n4bw_2_2"/>
      <w:bookmarkStart w:id="857" w:name="Tc_eVoRUcyU0U6p48cx5usnIQ_1_2"/>
      <w:bookmarkStart w:id="858" w:name="_5297a640_115c_41c4_8296_6616377ce86c"/>
      <w:bookmarkStart w:id="859" w:name="_137366d8_5c02_46ba_9a5c_8ad1d399dc0b"/>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p>
    <w:tbl>
      <w:tblPr>
        <w:tblW w:w="8952" w:type="dxa"/>
        <w:jc w:val="left"/>
        <w:tblInd w:w="0" w:type="dxa"/>
        <w:tblLayout w:type="fixed"/>
        <w:tblCellMar>
          <w:top w:w="0" w:type="dxa"/>
          <w:left w:w="0" w:type="dxa"/>
          <w:bottom w:w="0" w:type="dxa"/>
          <w:right w:w="0" w:type="dxa"/>
        </w:tblCellMar>
      </w:tblPr>
      <w:tblGrid>
        <w:gridCol w:w="4426"/>
        <w:gridCol w:w="346"/>
        <w:gridCol w:w="211"/>
        <w:gridCol w:w="1051"/>
        <w:gridCol w:w="346"/>
        <w:gridCol w:w="109"/>
        <w:gridCol w:w="676"/>
        <w:gridCol w:w="346"/>
        <w:gridCol w:w="342"/>
        <w:gridCol w:w="1099"/>
      </w:tblGrid>
      <w:tr>
        <w:trPr/>
        <w:tc>
          <w:tcPr>
            <w:tcW w:w="4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810510" cy="175260"/>
                      <wp:effectExtent l="0" t="0" r="0" b="0"/>
                      <wp:wrapNone/>
                      <wp:docPr id="118" name="Frame118"/>
                      <a:graphic xmlns:a="http://schemas.openxmlformats.org/drawingml/2006/main">
                        <a:graphicData uri="http://schemas.microsoft.com/office/word/2010/wordprocessingShape">
                          <wps:wsp>
                            <wps:cNvSpPr txBox="1"/>
                            <wps:spPr>
                              <a:xfrm>
                                <a:off x="0" y="0"/>
                                <a:ext cx="2810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19710" cy="175260"/>
                      <wp:effectExtent l="0" t="0" r="0" b="0"/>
                      <wp:wrapNone/>
                      <wp:docPr id="119" name="Frame1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33985" cy="175260"/>
                      <wp:effectExtent l="0" t="0" r="0" b="0"/>
                      <wp:wrapNone/>
                      <wp:docPr id="120" name="Frame1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67385" cy="175260"/>
                      <wp:effectExtent l="0" t="0" r="0" b="0"/>
                      <wp:wrapNone/>
                      <wp:docPr id="121" name="Frame121"/>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9710" cy="175260"/>
                      <wp:effectExtent l="0" t="0" r="0" b="0"/>
                      <wp:wrapNone/>
                      <wp:docPr id="122" name="Frame1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9215" cy="175260"/>
                      <wp:effectExtent l="0" t="0" r="0" b="0"/>
                      <wp:wrapNone/>
                      <wp:docPr id="123" name="Frame1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429260" cy="175260"/>
                      <wp:effectExtent l="0" t="0" r="0" b="0"/>
                      <wp:wrapNone/>
                      <wp:docPr id="124" name="Frame12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9710" cy="175260"/>
                      <wp:effectExtent l="0" t="0" r="0" b="0"/>
                      <wp:wrapNone/>
                      <wp:docPr id="125" name="Frame1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17170" cy="175260"/>
                      <wp:effectExtent l="0" t="0" r="0" b="0"/>
                      <wp:wrapNone/>
                      <wp:docPr id="126" name="Frame126"/>
                      <a:graphic xmlns:a="http://schemas.openxmlformats.org/drawingml/2006/main">
                        <a:graphicData uri="http://schemas.microsoft.com/office/word/2010/wordprocessingShape">
                          <wps:wsp>
                            <wps:cNvSpPr txBox="1"/>
                            <wps:spPr>
                              <a:xfrm>
                                <a:off x="0" y="0"/>
                                <a:ext cx="217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97865" cy="175260"/>
                      <wp:effectExtent l="0" t="0" r="0" b="0"/>
                      <wp:wrapNone/>
                      <wp:docPr id="127" name="Frame127"/>
                      <a:graphic xmlns:a="http://schemas.openxmlformats.org/drawingml/2006/main">
                        <a:graphicData uri="http://schemas.microsoft.com/office/word/2010/wordprocessingShape">
                          <wps:wsp>
                            <wps:cNvSpPr txBox="1"/>
                            <wps:spPr>
                              <a:xfrm>
                                <a:off x="0" y="0"/>
                                <a:ext cx="697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180"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r>
      <w:tr>
        <w:trPr/>
        <w:tc>
          <w:tcPr>
            <w:tcW w:w="44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46" w:type="dxa"/>
            <w:tcBorders/>
            <w:vAlign w:val="center"/>
          </w:tcPr>
          <w:p>
            <w:pPr>
              <w:pStyle w:val="TableContents"/>
              <w:bidi w:val="0"/>
              <w:spacing w:before="0" w:after="0"/>
              <w:ind w:left="0" w:right="0" w:hanging="0"/>
              <w:jc w:val="center"/>
              <w:rPr/>
            </w:pPr>
            <w:r>
              <w:rPr/>
              <w:t>  ​ ​ ​</w:t>
            </w:r>
          </w:p>
        </w:tc>
        <w:tc>
          <w:tcPr>
            <w:tcW w:w="7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w:t>
            </w:r>
          </w:p>
        </w:tc>
        <w:tc>
          <w:tcPr>
            <w:tcW w:w="346" w:type="dxa"/>
            <w:tcBorders/>
            <w:vAlign w:val="center"/>
          </w:tcPr>
          <w:p>
            <w:pPr>
              <w:pStyle w:val="TableContents"/>
              <w:bidi w:val="0"/>
              <w:spacing w:before="0" w:after="0"/>
              <w:ind w:left="0" w:right="0" w:hanging="0"/>
              <w:jc w:val="center"/>
              <w:rPr/>
            </w:pPr>
            <w:r>
              <w:rPr/>
              <w:t>  ​ ​ ​</w:t>
            </w:r>
          </w:p>
        </w:tc>
        <w:tc>
          <w:tcPr>
            <w:tcW w:w="14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 share amount</w:t>
            </w:r>
          </w:p>
        </w:tc>
      </w:tr>
      <w:tr>
        <w:trPr/>
        <w:tc>
          <w:tcPr>
            <w:tcW w:w="4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EPS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342" w:type="dxa"/>
            <w:tcBorders/>
            <w:shd w:fill="CCEEFF" w:val="clear"/>
            <w:vAlign w:val="center"/>
          </w:tcPr>
          <w:p>
            <w:pPr>
              <w:pStyle w:val="TableContents"/>
              <w:bidi w:val="0"/>
              <w:spacing w:before="0" w:after="0"/>
              <w:ind w:left="0" w:right="0" w:hanging="0"/>
              <w:jc w:val="left"/>
              <w:rPr/>
            </w:pPr>
            <w:r>
              <w:rPr/>
              <w:t>​</w:t>
            </w:r>
          </w:p>
        </w:tc>
        <w:tc>
          <w:tcPr>
            <w:tcW w:w="1099" w:type="dxa"/>
            <w:tcBorders/>
            <w:shd w:fill="CCEEFF" w:val="clear"/>
            <w:vAlign w:val="center"/>
          </w:tcPr>
          <w:p>
            <w:pPr>
              <w:pStyle w:val="TableContents"/>
              <w:bidi w:val="0"/>
              <w:spacing w:before="0" w:after="0"/>
              <w:ind w:left="0" w:right="0" w:hanging="0"/>
              <w:jc w:val="right"/>
              <w:rPr/>
            </w:pPr>
            <w:r>
              <w:rPr/>
              <w:t>  ​</w:t>
            </w:r>
          </w:p>
        </w:tc>
      </w:tr>
      <w:tr>
        <w:trPr/>
        <w:tc>
          <w:tcPr>
            <w:tcW w:w="4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continuing operations per ordinary share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(1,266,437)</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16,096</w:t>
            </w:r>
          </w:p>
        </w:tc>
        <w:tc>
          <w:tcPr>
            <w:tcW w:w="346"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(78.68)</w:t>
            </w:r>
          </w:p>
        </w:tc>
      </w:tr>
      <w:tr>
        <w:trPr/>
        <w:tc>
          <w:tcPr>
            <w:tcW w:w="4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discontinued operations per ordinary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16,096</w:t>
            </w:r>
          </w:p>
        </w:tc>
        <w:tc>
          <w:tcPr>
            <w:tcW w:w="346" w:type="dxa"/>
            <w:tcBorders/>
            <w:shd w:fill="CCEEFF" w:val="clear"/>
            <w:vAlign w:val="center"/>
          </w:tcPr>
          <w:p>
            <w:pPr>
              <w:pStyle w:val="TableContents"/>
              <w:bidi w:val="0"/>
              <w:spacing w:before="0" w:after="0"/>
              <w:ind w:left="0" w:right="0" w:hanging="0"/>
              <w:jc w:val="left"/>
              <w:rPr/>
            </w:pPr>
            <w:r>
              <w:rPr/>
              <w:t>​</w:t>
            </w:r>
          </w:p>
        </w:tc>
        <w:tc>
          <w:tcPr>
            <w:tcW w:w="3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0.00</w:t>
            </w:r>
          </w:p>
        </w:tc>
      </w:tr>
      <w:tr>
        <w:trPr/>
        <w:tc>
          <w:tcPr>
            <w:tcW w:w="4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 per ordinary share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(1,266,437)</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(78.68)</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Related parties and transactions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identifies related parties, and accounts for and discloses related party transactions in accordance with ASC 850, “Related Party Disclosures” and other relevant ASC standards.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Parties, which can be a corporation or individual, are considered related if the Company has the ability, directly or indirectly, to control the other party or exercise significant influence over the other party in making financial and operational decisions. Corporations are also considered to be related if they are subject to common control or common significant influence.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Transactions between related parties commonly occurring in the normal course of business are considered to be related party transactions. Transactions between related parties are also considered to be related party transactions even though they may not be given accounting recognition.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Segment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uses the management approach in determining reportable operating segments, consistent with ASC 280-10-05. The management approach considers the internal reporting used by the Company’s chief operating decision maker (CODM), who is the Chief Executive Officer, for making operating decisions about the allocation of resources of the segment and the assessment of its performance in determining the Company’s reportable operating segments. Following the discontinuation of the parallel-import vehicles business, during 2025, the Company reported a single reportable segment on logistics and warehousing services. During the second quarter of 2026, following the May 27, 2026 acquisition of Super International (see Note 9), the Company began managing and evaluating its operations through two reportable operating segments: (1) logistics and warehousing services, which provides parallel-import vehicle logistics, freight forwarding, cargo storage, customs clearance, and related services in the United States; and (2) international trading, which includes the trading of excavators and construction machinery through the acquired Hong Kong entity. The two segments have been presented separately because they do not meet all five criteria for aggregation under ASC 280-10-50-11; in particular, they differ in their underlying economic characteristics, customer bases, and the nature of services provided.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Segment operating performance is evaluated based on segment revenue and significant segment expenses, which include cost of revenues, general and administrative expenses, impairment loss expenses, and share-based compensation expenses, as these measures are regularly provided to the CODM. Segment profitability generally aligns with operating income at the consolidated level, except for corporate-level items that are not allocated to either segment. There are no inter-segment revenues or expenses between the two segments.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also evaluates segment-level revenue and other items regularly provided to the CODM and discloses these in the accompanying segment footnote. As of June 30, 2026, certain customers of the Company’s international trading segment accounted for a substantial portion of the Company’s consolidated total revenues, exceeding the 10% threshold under ASC 280-10-50-22. See Note 17 - SEGMENT REPORTING.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Recent accounting pronouncements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Recently issued accounting pronouncements not yet adopted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November 2024, the FASB issued ASU No. 2024-03, Income Statement—Reporting Comprehensive Income—Expense Disaggregation Disclosures (Subtopic 220-40): Disaggregation of Income Statement Expenses (“ASU 2024-03”), and in January 2025, the FASB issued ASU No. 2025-01, Income Statement—Reporting Comprehensive Income—Expense Disaggregation Disclosures (Subtopic 220-40): Clarifying the Effective Date (“ASU 2025-01”). ASU 2024-03 requires additional disclosure of the nature of expenses included in the income statement as well as disclosures about specific types of expenses included in the expense captions presented in the income statement. ASU 2024-03, as clarified by ASU 2025-01, is effective for annual periods beginning after December 15, 2026, and interim reporting periods beginning after December 15, 2027, with early adoption permitted. This guidance will be applied either prospectively or retrospectively. The Company is currently evaluating the impact from the adoption of this ASU on its consolidated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July 2025, the FASB issued ASU 2025-05, Financial Instruments-Credit Losses (Topic 326): Measurement of Credit Losses for Accounts Receivable and Contract Assets, which provides a practical expedient and accounting policy election to allow entities to measure expected credit losses on certain trade receivables and contract assets using a provision matrix approach. ASU 2025-05 is effective for annual periods beginning after December 15, 2025, and interim periods within those fiscal years, with early adoption permitted. The Company is currently evaluating the impact of this guidance on our consolidated financial statements and related disclosures.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Recently issued accounting pronouncements adopted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December 2023, the FASB issued ASU No. 2023-09, Income Taxes (Topic 740): Improvements to Income Tax Disclosures, which aims to improve the transparency of income tax disclosures by requiring consistent categories and greater disaggregation of information in the rate reconciliation and income taxes paid disaggregated by jurisdiction. ASU 2023-09 is effective for fiscal years beginning after December 15, 2024 and early adoption is permitted. The Company adopted ASU 2023-09 on January 1, 2025, on a prospective basis (see note 14). The adoption did not have a material impact on the consolidated financial statements and related disclosures.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accounting standards that have been issued by FASB that do not require adoption until a future date are not expected to have a material impact on the consolidated financial statements upon adoption. The Company does not discuss recent pronouncements that are not anticipated to have an impact on, or are unrelated to, its consolidated financial condition, results of operations, cash flows or disclosures.</w:t>
      </w:r>
    </w:p>
    <w:p>
      <w:pPr>
        <w:pStyle w:val="TextBody"/>
        <w:bidi w:val="0"/>
        <w:spacing w:before="0" w:after="240"/>
        <w:ind w:left="0" w:right="0" w:hanging="0"/>
        <w:jc w:val="both"/>
        <w:rPr/>
      </w:pPr>
      <w:r>
        <w:rPr/>
        <w:t>​</w:t>
      </w:r>
    </w:p>
    <w:p>
      <w:pPr>
        <w:pStyle w:val="TextBody"/>
        <w:bidi w:val="0"/>
        <w:spacing w:before="0" w:after="200"/>
        <w:ind w:left="0" w:right="0" w:hanging="0"/>
        <w:jc w:val="both"/>
        <w:rPr>
          <w:rFonts w:ascii="Times New Roman;Times;serif" w:hAnsi="Times New Roman;Times;serif"/>
          <w:b/>
          <w:sz w:val="20"/>
        </w:rPr>
      </w:pPr>
      <w:bookmarkStart w:id="860" w:name="Narr_4TyhDMQULkKjiQcIjtrvIQ"/>
      <w:bookmarkStart w:id="861" w:name="Tc_aMCv21WCVU271ynkRRvWng_4_5"/>
      <w:bookmarkStart w:id="862" w:name="Tc_nIvZnEv9FkKSCeYzDRS0vw_4_2"/>
      <w:bookmarkStart w:id="863" w:name="Tc_eSutrx1_Wk2mP6scbywLBA_4_0"/>
      <w:bookmarkStart w:id="864" w:name="Tc_zyNCQESJ9kqMiZNmB3gQaA_3_0"/>
      <w:bookmarkStart w:id="865" w:name="Tc_MEiZSrrNk0C_gXT9JEaKqQ_2_5"/>
      <w:bookmarkStart w:id="866" w:name="Tc_uJqwBNxBGkSsNeTCbdrTmA_2_2"/>
      <w:bookmarkStart w:id="867" w:name="Tc_i-kPC2_ztEW-LP91j8hfbA_2_0"/>
      <w:bookmarkStart w:id="868" w:name="Tc_zQSmDGdcCkSplkJNTSrq8g_1_5"/>
      <w:bookmarkStart w:id="869" w:name="Tc_ZFnll9tijk6xAQ3nZZHE_g_1_2"/>
      <w:bookmarkStart w:id="870" w:name="_9d7839ba_3cbc_4731_8303_8456dc646be5"/>
      <w:bookmarkEnd w:id="860"/>
      <w:bookmarkEnd w:id="861"/>
      <w:bookmarkEnd w:id="862"/>
      <w:bookmarkEnd w:id="863"/>
      <w:bookmarkEnd w:id="864"/>
      <w:bookmarkEnd w:id="865"/>
      <w:bookmarkEnd w:id="866"/>
      <w:bookmarkEnd w:id="867"/>
      <w:bookmarkEnd w:id="868"/>
      <w:bookmarkEnd w:id="869"/>
      <w:bookmarkEnd w:id="870"/>
      <w:r>
        <w:rPr>
          <w:rFonts w:ascii="Times New Roman;Times;serif" w:hAnsi="Times New Roman;Times;serif"/>
          <w:b/>
          <w:sz w:val="20"/>
        </w:rPr>
        <w:t>NOTE 3 — LOAN RECEIVABLE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had loans to generate interest income with third parties. As of June 30, 2026 and December 31, 2025, a breakdown of loan receivable was as follows:</w:t>
      </w:r>
    </w:p>
    <w:p>
      <w:pPr>
        <w:pStyle w:val="TextBody"/>
        <w:bidi w:val="0"/>
        <w:spacing w:before="0" w:after="240"/>
        <w:ind w:left="0" w:right="0" w:hanging="0"/>
        <w:jc w:val="both"/>
        <w:rPr/>
      </w:pPr>
      <w:r>
        <w:rPr/>
        <w:t>​</w:t>
      </w:r>
    </w:p>
    <w:tbl>
      <w:tblPr>
        <w:tblW w:w="7191" w:type="dxa"/>
        <w:jc w:val="left"/>
        <w:tblInd w:w="0" w:type="dxa"/>
        <w:tblLayout w:type="fixed"/>
        <w:tblCellMar>
          <w:top w:w="0" w:type="dxa"/>
          <w:left w:w="0" w:type="dxa"/>
          <w:bottom w:w="0" w:type="dxa"/>
          <w:right w:w="0" w:type="dxa"/>
        </w:tblCellMar>
      </w:tblPr>
      <w:tblGrid>
        <w:gridCol w:w="3706"/>
        <w:gridCol w:w="346"/>
        <w:gridCol w:w="211"/>
        <w:gridCol w:w="1036"/>
        <w:gridCol w:w="346"/>
        <w:gridCol w:w="261"/>
        <w:gridCol w:w="1285"/>
      </w:tblGrid>
      <w:tr>
        <w:trPr/>
        <w:tc>
          <w:tcPr>
            <w:tcW w:w="3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353310" cy="175260"/>
                      <wp:effectExtent l="0" t="0" r="0" b="0"/>
                      <wp:wrapNone/>
                      <wp:docPr id="128" name="Frame128"/>
                      <a:graphic xmlns:a="http://schemas.openxmlformats.org/drawingml/2006/main">
                        <a:graphicData uri="http://schemas.microsoft.com/office/word/2010/wordprocessingShape">
                          <wps:wsp>
                            <wps:cNvSpPr txBox="1"/>
                            <wps:spPr>
                              <a:xfrm>
                                <a:off x="0" y="0"/>
                                <a:ext cx="2353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9710" cy="175260"/>
                      <wp:effectExtent l="0" t="0" r="0" b="0"/>
                      <wp:wrapNone/>
                      <wp:docPr id="129" name="Frame1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33985" cy="175260"/>
                      <wp:effectExtent l="0" t="0" r="0" b="0"/>
                      <wp:wrapNone/>
                      <wp:docPr id="130" name="Frame1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57860" cy="175260"/>
                      <wp:effectExtent l="0" t="0" r="0" b="0"/>
                      <wp:wrapNone/>
                      <wp:docPr id="131" name="Frame13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19710" cy="175260"/>
                      <wp:effectExtent l="0" t="0" r="0" b="0"/>
                      <wp:wrapNone/>
                      <wp:docPr id="132" name="Frame1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65735" cy="175260"/>
                      <wp:effectExtent l="0" t="0" r="0" b="0"/>
                      <wp:wrapNone/>
                      <wp:docPr id="133" name="Frame133"/>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815975" cy="175260"/>
                      <wp:effectExtent l="0" t="0" r="0" b="0"/>
                      <wp:wrapNone/>
                      <wp:docPr id="134" name="Frame134"/>
                      <a:graphic xmlns:a="http://schemas.openxmlformats.org/drawingml/2006/main">
                        <a:graphicData uri="http://schemas.microsoft.com/office/word/2010/wordprocessingShape">
                          <wps:wsp>
                            <wps:cNvSpPr txBox="1"/>
                            <wps:spPr>
                              <a:xfrm>
                                <a:off x="0" y="0"/>
                                <a:ext cx="815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center"/>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706"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Hongkong Sanyou Petroleum Co Limited </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25,458,778</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3,846,666</w:t>
            </w:r>
          </w:p>
        </w:tc>
      </w:tr>
      <w:tr>
        <w:trPr/>
        <w:tc>
          <w:tcPr>
            <w:tcW w:w="3706"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Asia Finance Investment Limited </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4,492,735</w:t>
            </w:r>
          </w:p>
        </w:tc>
        <w:tc>
          <w:tcPr>
            <w:tcW w:w="34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3,583,445</w:t>
            </w:r>
          </w:p>
        </w:tc>
      </w:tr>
      <w:tr>
        <w:trPr/>
        <w:tc>
          <w:tcPr>
            <w:tcW w:w="37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loan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29,951,513</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7,430,111</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1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On July 23, 2024, the Company entered an additional unsecured short-term loan of $1,500,000</w:t>
            </w:r>
            <w:r>
              <w:rPr>
                <w:caps w:val="false"/>
                <w:smallCaps w:val="false"/>
              </w:rPr>
              <w:t xml:space="preserve"> </w:t>
            </w:r>
            <w:r>
              <w:rPr>
                <w:rFonts w:ascii="Times New Roman;Times;serif" w:hAnsi="Times New Roman;Times;serif"/>
                <w:b w:val="false"/>
                <w:i w:val="false"/>
                <w:caps w:val="false"/>
                <w:smallCaps w:val="false"/>
                <w:sz w:val="20"/>
              </w:rPr>
              <w:t>to Hongkong Sanyou Petroleum Co Limited under the same terms.</w:t>
            </w:r>
            <w:r>
              <w:rPr>
                <w:caps w:val="false"/>
                <w:smallCaps w:val="false"/>
              </w:rPr>
              <w:t xml:space="preserve"> </w:t>
            </w:r>
            <w:r>
              <w:rPr>
                <w:rFonts w:ascii="Times New Roman;Times;serif" w:hAnsi="Times New Roman;Times;serif"/>
                <w:b w:val="false"/>
                <w:i w:val="false"/>
                <w:caps w:val="false"/>
                <w:smallCaps w:val="false"/>
                <w:sz w:val="20"/>
              </w:rPr>
              <w:t>Upon the original maturity date, $nil</w:t>
            </w:r>
            <w:r>
              <w:rPr>
                <w:caps w:val="false"/>
                <w:smallCaps w:val="false"/>
              </w:rPr>
              <w:t xml:space="preserve"> </w:t>
            </w:r>
            <w:r>
              <w:rPr>
                <w:rFonts w:ascii="Times New Roman;Times;serif" w:hAnsi="Times New Roman;Times;serif"/>
                <w:b w:val="false"/>
                <w:i w:val="false"/>
                <w:caps w:val="false"/>
                <w:smallCaps w:val="false"/>
                <w:sz w:val="20"/>
              </w:rPr>
              <w:t>had been collected, with $182,500</w:t>
            </w:r>
            <w:r>
              <w:rPr>
                <w:caps w:val="false"/>
                <w:smallCaps w:val="false"/>
              </w:rPr>
              <w:t xml:space="preserve"> </w:t>
            </w:r>
            <w:r>
              <w:rPr>
                <w:rFonts w:ascii="Times New Roman;Times;serif" w:hAnsi="Times New Roman;Times;serif"/>
                <w:b w:val="false"/>
                <w:i w:val="false"/>
                <w:caps w:val="false"/>
                <w:smallCaps w:val="false"/>
                <w:sz w:val="20"/>
              </w:rPr>
              <w:t>interest accrued. On July 23, 2025, the Company and the borrower executed an extension agreement to renew the loan for an additional one-year term, effective upon the original maturity date. Under the renewed agreement, the outstanding balance became payable on demand and continues to bear interest at the reduced annual rate of 8%. The accrued and unpaid interest receivable under the original loan agreement was excluded from the renewed principal balance. As of March 6, 2026, $1,500,000</w:t>
            </w:r>
            <w:r>
              <w:rPr>
                <w:caps w:val="false"/>
                <w:smallCaps w:val="false"/>
              </w:rPr>
              <w:t xml:space="preserve"> </w:t>
            </w:r>
            <w:r>
              <w:rPr>
                <w:rFonts w:ascii="Times New Roman;Times;serif" w:hAnsi="Times New Roman;Times;serif"/>
                <w:b w:val="false"/>
                <w:i w:val="false"/>
                <w:caps w:val="false"/>
                <w:smallCaps w:val="false"/>
                <w:sz w:val="20"/>
              </w:rPr>
              <w:t>principal and $223,564</w:t>
            </w:r>
            <w:r>
              <w:rPr>
                <w:caps w:val="false"/>
                <w:smallCaps w:val="false"/>
              </w:rPr>
              <w:t xml:space="preserve"> </w:t>
            </w:r>
            <w:r>
              <w:rPr>
                <w:rFonts w:ascii="Times New Roman;Times;serif" w:hAnsi="Times New Roman;Times;serif"/>
                <w:b w:val="false"/>
                <w:i w:val="false"/>
                <w:caps w:val="false"/>
                <w:smallCaps w:val="false"/>
                <w:sz w:val="20"/>
              </w:rPr>
              <w:t>interest had been fully collected.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 xml:space="preserve">On October 2, 2024 and October 28, 2024, the Company entered into two one-year unsecured short-term loan agreements with Hongkong Sanyou Petroleum Co Limited, for the principal amount of the loan $1,000,000 and $1,000,000, respectively, bearing an annual interest rate of 12.0% and set to mature in 12 months. Upon the original maturity of these loans, the Company and the borrower executed loan extension agreements to renew both loans for an additional one-year </w:t>
      </w:r>
      <w:r>
        <w:rPr>
          <w:rFonts w:ascii="Times New Roman;Times;serif" w:hAnsi="Times New Roman;Times;serif"/>
          <w:b w:val="false"/>
          <w:i w:val="false"/>
          <w:caps w:val="false"/>
          <w:smallCaps w:val="false"/>
          <w:sz w:val="20"/>
        </w:rPr>
        <w:t>term</w:t>
      </w:r>
      <w:r>
        <w:rPr>
          <w:rFonts w:ascii="Times New Roman;Times;serif" w:hAnsi="Times New Roman;Times;serif"/>
          <w:sz w:val="20"/>
        </w:rPr>
        <w:t xml:space="preserve">, effective as of October 2, 2025 and October 28, 2025, respectively. Under the renewed agreements, the outstanding principal balances of $1,000,000 each </w:t>
      </w:r>
      <w:r>
        <w:rPr>
          <w:rFonts w:ascii="Times New Roman;Times;serif" w:hAnsi="Times New Roman;Times;serif"/>
          <w:b w:val="false"/>
          <w:i w:val="false"/>
          <w:caps w:val="false"/>
          <w:smallCaps w:val="false"/>
          <w:sz w:val="20"/>
        </w:rPr>
        <w:t>continue</w:t>
      </w:r>
      <w:r>
        <w:rPr>
          <w:rFonts w:ascii="Times New Roman;Times;serif" w:hAnsi="Times New Roman;Times;serif"/>
          <w:sz w:val="20"/>
        </w:rPr>
        <w:t xml:space="preserve"> to accrue interest at a reduced annual rate of 8%, </w:t>
      </w:r>
      <w:r>
        <w:rPr>
          <w:rFonts w:ascii="Times New Roman;Times;serif" w:hAnsi="Times New Roman;Times;serif"/>
          <w:b w:val="false"/>
          <w:i w:val="false"/>
          <w:caps w:val="false"/>
          <w:smallCaps w:val="false"/>
          <w:sz w:val="20"/>
        </w:rPr>
        <w:t>and</w:t>
      </w:r>
      <w:r>
        <w:rPr>
          <w:rFonts w:ascii="Times New Roman;Times;serif" w:hAnsi="Times New Roman;Times;serif"/>
          <w:sz w:val="20"/>
        </w:rPr>
        <w:t xml:space="preserve"> will mature on October 1, 2026 and October 27, 2026, respectively. The accrued and unpaid interest receivable under the original loan agreements were excluded from the renewed principal amounts. As of March 16, 2026, the loan dated October 2, 2024, $1,000,000 principal and $156,547 interest had been fully collected. With respect to the loan dated October 28, 2024, as of June 30, 2026, the Company has received partial repayments of $471,222 in principal, with remaining principal of $528,778 and interest of $165,011. As of the date of this report, the Company received full repayment of the remaining principal balance of $528,778, while interest of $165,011 remained outstanding.</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On November 20, 2024, the Company entered into a one-year unsecured short-term loan agreement with Hongkong Sanyou Petroleum Co Limited. The principal amount of the loan is $500,000. This loan carries an annual interest rate of 12.0% and is set to mature in 12 months. On November 20, 2025, the Company and the borrower executed an extension agreement to renew the loan for an additional one-year term, effective upon the original maturity date. Under the renewed agreement, the outstanding balance became payable on demand and continues to bear interest at the reduced annual rate of 8%. The accrued and unpaid interest receivable under the original loan agreement was excluded from the renewed principal balance. As of the date of this report, $500,000 principal has been fully collected while interest of $85,500 remained outstanding.</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On March 17, 2025, the Company entered into a one-year unsecured short-term loan agreement with Hongkong Sanyou Petroleum Co Limited. The principal amount of the loan is $950,000. This loan carries an annual interest rate of 12.0% and is set to mature in 12 months. Upon the loan’s original maturity on March 16, 2026, the Company and the borrower executed a loan extension agreement to renew the loan for an additional one-year term, effective as of March 17, 2026. Under the renewed agreement, the outstanding principal balance of $950,000 continues to accrue interest at a reduced annual rate of 5%, and will mature on March 16, 2027. The accrued and unpaid interest receivable under the original loan agreement was excluded from the renewed principal amount. As of the date of this report, $950,000 principal has been fully collected while interest of $129,438 remained outstanding.</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On March 17, 2026, the Company entered into a one-year unsecured short-term loan agreement with Hongkong Sanyou Petroleum Co Limited. The principal amount of the loan is $980,000. This loan carries an annual interest rate of 5.0% and is set to mature in 12 months. As of the date of this report, the Company has received partial repayments of $721,222 in principal, with remaining principal of $258,778 and interest of $14,292 to be collected subsequently.</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On April 1, 2026, the Company entered into a one-year unsecured short-term loan agreement with Hongkong Sanyou Petroleum Co Limited. The principal amount of the loan is $500,000. This loan carries an annual interest rate of 5.0% and is set to mature in 12 months, with an option to extend for an additional 12 months. As of the date of this report, no principal repayments and accrued interest have been collected on this loan, with remaining principal of $500,000 and interest of $6,250 to be collected subsequently.</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On April 23, 2026, the Company entered into a one-year unsecured short-term loan agreement with Hongkong Sanyou Petroleum Co Limited. The principal amount of the loan is $9,000,000. This loan carries an annual interest rate of 5.0% and is set to mature in 12 months, with an option to extend for an additional 12 months. As of the date of this report, no principal repayments and accrued interest have been collected on this loan, with remaining principal of $9,000,000 and interest of $85,000 to be collected subsequently.</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On April 27, 2026, the Company entered into a one-year unsecured short-term loan agreement with Hongkong Sanyou Petroleum Co Limited. The principal amount of the loan is $5,000,000. This loan carries an annual interest rate of 5.0% and is set to mature in 12 months, with an option to extend for an additional 12 months. As of the date of this report, no principal repayments and accrued interest have been collected on this loan, with remaining principal of $5,000,000 and interest of $44,444 to be collected subsequently.</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On May 14, 2026, the Company entered into a one-year unsecured short-term loan agreement with Hongkong Sanyou Petroleum Co Limited. The principal amount of the loan is $4,000,000. This loan carries an annual interest rate of 5.0% and is set to mature in 12 months, with an option to extend for an additional 12 months. As of the date of this report, no principal repayments and accrued interest have been collected on this loan, with remaining principal of $4,000,000 and interest of $26,111 to be collected subsequently.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May 21, 2026, the Company entered into a one-year unsecured short-term loan agreement with Hongkong Sanyou Petroleum Co Limited. The principal amount of the loan is $4,000,000. This loan carries an annual interest rate of 5.0% and is set to mature in 12 months, with an option to extend for an additional 12 months. As of the date of this report, no principal repayments and accrued interest have been collected on this loan, with remaining principal of $4,000,000 and interest of $22,222 to be collected subsequently.</w:t>
      </w:r>
    </w:p>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1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On August 16, 2024, the Company entered into a one-year</w:t>
            </w:r>
            <w:r>
              <w:rPr>
                <w:caps w:val="false"/>
                <w:smallCaps w:val="false"/>
              </w:rPr>
              <w:t xml:space="preserve"> </w:t>
            </w:r>
            <w:r>
              <w:rPr>
                <w:rFonts w:ascii="Times New Roman;Times;serif" w:hAnsi="Times New Roman;Times;serif"/>
                <w:b w:val="false"/>
                <w:i w:val="false"/>
                <w:caps w:val="false"/>
                <w:smallCaps w:val="false"/>
                <w:sz w:val="20"/>
              </w:rPr>
              <w:t>unsecured short-term loan agreement with Asia Finance Investment Limited for a principal amount of $649,250. After mutual debt adjustments, the adjusted principal balance of this loan is $558,295. This loan accrues interest at a monthly rate of 1.0%, with a single lump-sum repayment due 12 months</w:t>
            </w:r>
            <w:r>
              <w:rPr>
                <w:caps w:val="false"/>
                <w:smallCaps w:val="false"/>
              </w:rPr>
              <w:t xml:space="preserve"> </w:t>
            </w:r>
            <w:r>
              <w:rPr>
                <w:rFonts w:ascii="Times New Roman;Times;serif" w:hAnsi="Times New Roman;Times;serif"/>
                <w:b w:val="false"/>
                <w:i w:val="false"/>
                <w:caps w:val="false"/>
                <w:smallCaps w:val="false"/>
                <w:sz w:val="20"/>
              </w:rPr>
              <w:t>from the disbursement date. The agreement includes a mutual debt adjustment provision, where the balance after offsetting mutual debts is applied to reduce interest charges. Any overdue payments under this agreement bear an annual interest rate of 18%. Upon the loan’s original maturity on August 15, 2025, the Company and the borrower executed a loan extension agreement to renew the loan for an additional one - year</w:t>
            </w:r>
            <w:r>
              <w:rPr>
                <w:caps w:val="false"/>
                <w:smallCaps w:val="false"/>
              </w:rPr>
              <w:t xml:space="preserve"> </w:t>
            </w:r>
            <w:r>
              <w:rPr>
                <w:rFonts w:ascii="Times New Roman;Times;serif" w:hAnsi="Times New Roman;Times;serif"/>
                <w:b w:val="false"/>
                <w:i w:val="false"/>
                <w:caps w:val="false"/>
                <w:smallCaps w:val="false"/>
                <w:sz w:val="20"/>
              </w:rPr>
              <w:t>term, effective as of August 16, 2025. Under the renewed agreement, the outstanding principal balance of $558,295</w:t>
            </w:r>
            <w:r>
              <w:rPr>
                <w:caps w:val="false"/>
                <w:smallCaps w:val="false"/>
              </w:rPr>
              <w:t xml:space="preserve"> </w:t>
            </w:r>
            <w:r>
              <w:rPr>
                <w:rFonts w:ascii="Times New Roman;Times;serif" w:hAnsi="Times New Roman;Times;serif"/>
                <w:b w:val="false"/>
                <w:i w:val="false"/>
                <w:caps w:val="false"/>
                <w:smallCaps w:val="false"/>
                <w:sz w:val="20"/>
              </w:rPr>
              <w:t>continues to accrue interest at a reduced annual rate of 8%, and will mature on August 15, 2026. The accrued and unpaid interest receivable under the original loan agreement was excluded from the renewed principal amount. As of March 12, 2026, $558,295</w:t>
            </w:r>
            <w:r>
              <w:rPr>
                <w:caps w:val="false"/>
                <w:smallCaps w:val="false"/>
              </w:rPr>
              <w:t xml:space="preserve"> </w:t>
            </w:r>
            <w:r>
              <w:rPr>
                <w:rFonts w:ascii="Times New Roman;Times;serif" w:hAnsi="Times New Roman;Times;serif"/>
                <w:b w:val="false"/>
                <w:i w:val="false"/>
                <w:caps w:val="false"/>
                <w:smallCaps w:val="false"/>
                <w:sz w:val="20"/>
              </w:rPr>
              <w:t>principal and $92,117</w:t>
            </w:r>
            <w:r>
              <w:rPr>
                <w:caps w:val="false"/>
                <w:smallCaps w:val="false"/>
              </w:rPr>
              <w:t xml:space="preserve"> </w:t>
            </w:r>
            <w:r>
              <w:rPr>
                <w:rFonts w:ascii="Times New Roman;Times;serif" w:hAnsi="Times New Roman;Times;serif"/>
                <w:b w:val="false"/>
                <w:i w:val="false"/>
                <w:caps w:val="false"/>
                <w:smallCaps w:val="false"/>
                <w:sz w:val="20"/>
              </w:rPr>
              <w:t>interest had been fully collected.</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October 24, 2024, the Company entered into a one-year unsecured short-term loan agreement with Asia Finance Investment Limited for a principal amount of $530,000. This loan accrues interest at a monthly rate of 1.0%, with a single lump-sum repayment due 12 months from the disbursement date. Upon the loan’s original maturity on October 23, 2025, the Company and the borrower executed a loan extension agreement to renew the loan for an additional one-year term, effective as of October 24, 2025. Under the renewed agreement, the outstanding principal balance of $530,000 continues to accrue interest at a reduced annual rate of 8%, and will mature on October 23, 2026. The accrued and unpaid interest receivable under the original loan agreement was excluded from the renewed principal amount. As of March 12, 2026, $530,000 principal and $80,854 interest had been fully collected.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January 7, 2025, the Company entered into a one-year unsecured short-term loan agreement with Asia Finance Investment Limited for a principal amount of $100,000. This loan accrues interest at a monthly rate of 1.0%, with a single lump-sum repayment due 12 months from the disbursement date. On January 29, 2025, the Company extended an additional unsecured short-term loan of $300,000 to Asia Finance Investment Limited under the same terms. As of March 16, 2026, the loan dated January 7, 2025, $100,000 principal and $13,641 interest had been fully collected. With respect to the loan dated January 29, 2025, as of March 19, 2026, $300,000 principal and $39,765 interest had been fully collected.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On March 18, 2025, the Company entered into a one-year unsecured short-term loan agreement with Asia Finance Investment Limited for a principal amount of $825,400. This loan accrues interest at a monthly rate of 1.0%, with a single lump-sum repayment due 12 months from the disbursement date. On March 19, 2025, the Company extended an additional unsecured short-term loan of $900,000 to Asia Finance Investment Limited under the same terms. Upon the original maturity of these loans, the Company and the borrower executed loan extension agreements to renew both loans for an additional one-year </w:t>
      </w:r>
      <w:r>
        <w:rPr>
          <w:rFonts w:ascii="Times New Roman;Times;serif" w:hAnsi="Times New Roman;Times;serif"/>
          <w:b w:val="false"/>
          <w:i w:val="false"/>
          <w:caps w:val="false"/>
          <w:smallCaps w:val="false"/>
          <w:sz w:val="20"/>
        </w:rPr>
        <w:t>term</w:t>
      </w:r>
      <w:r>
        <w:rPr>
          <w:rFonts w:ascii="Times New Roman;Times;serif" w:hAnsi="Times New Roman;Times;serif"/>
          <w:sz w:val="20"/>
        </w:rPr>
        <w:t xml:space="preserve">, effective as of March 18, 2026 and March 19, 2026, respectively. Under the renewed agreements, the outstanding principal balances of $825,400 and $900,000, respectively, continue to accrue interest at a reduced annual </w:t>
      </w:r>
      <w:r>
        <w:rPr>
          <w:rFonts w:ascii="Times New Roman;Times;serif" w:hAnsi="Times New Roman;Times;serif"/>
          <w:b w:val="false"/>
          <w:i w:val="false"/>
          <w:caps w:val="false"/>
          <w:smallCaps w:val="false"/>
          <w:sz w:val="20"/>
        </w:rPr>
        <w:t>rate</w:t>
      </w:r>
      <w:r>
        <w:rPr>
          <w:rFonts w:ascii="Times New Roman;Times;serif" w:hAnsi="Times New Roman;Times;serif"/>
          <w:sz w:val="20"/>
        </w:rPr>
        <w:t xml:space="preserve"> of 5%, and will mature on March 17, 2027 and March 18, 2027, respectively. The accrued and unpaid interest receivable under the original loan agreements were excluded from the renewed principal amounts. As of the date of this report, the loan dated March 18, 2025, $612,415 principal had been partially collected, with remaining principal of $212,985 and interest of $103,556 to be collected subsequently. With respect to the loan dated March 19, 2025, no principal repayments and accrued interest have been collected on this loan, with remaining principal of $900,000 and interest of $122,375 to be collected subsequently.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On June 13, 2025, the Company entered into a </w:t>
      </w:r>
      <w:r>
        <w:rPr>
          <w:rFonts w:ascii="Times New Roman;Times;serif" w:hAnsi="Times New Roman;Times;serif"/>
          <w:b w:val="false"/>
          <w:i w:val="false"/>
          <w:caps w:val="false"/>
          <w:smallCaps w:val="false"/>
          <w:sz w:val="20"/>
        </w:rPr>
        <w:t>one - year</w:t>
      </w:r>
      <w:r>
        <w:rPr>
          <w:rFonts w:ascii="Times New Roman;Times;serif" w:hAnsi="Times New Roman;Times;serif"/>
          <w:sz w:val="20"/>
        </w:rPr>
        <w:t xml:space="preserve"> unsecured short - term loan agreement with Asia Finance Investment Limited for a principal amount of $169,750. This loan accrues interest at an annual rate of 8.0%, with a single lump - sum repayment due 12 months from the disbursement date. Upon the original maturity of this loan, the Company and the borrower executed a loan extension agreement to renew this loan for an additional one-year term, effective as of June 13, 2026. Under the renewed agreement, the outstanding principal balance of $169,750 continues to accrue interest at a reduced annual rate of 5%, and will mature on June 12, 2027. The accrued and unpaid interest receivable under the original loan agreement was excluded from the renewed principal amount. As of the date of this report, no principal repayments and accrued interest have been collected on this loan, with remaining principal of $169,750 and interest of $14,169 to be collected subsequently.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On June 26, 2025, the Company entered into a </w:t>
      </w:r>
      <w:r>
        <w:rPr>
          <w:rFonts w:ascii="Times New Roman;Times;serif" w:hAnsi="Times New Roman;Times;serif"/>
          <w:b w:val="false"/>
          <w:i w:val="false"/>
          <w:caps w:val="false"/>
          <w:smallCaps w:val="false"/>
          <w:sz w:val="20"/>
        </w:rPr>
        <w:t>one - year</w:t>
      </w:r>
      <w:r>
        <w:rPr>
          <w:rFonts w:ascii="Times New Roman;Times;serif" w:hAnsi="Times New Roman;Times;serif"/>
          <w:sz w:val="20"/>
        </w:rPr>
        <w:t xml:space="preserve"> unsecured short - term loan agreement with Asia Finance Investment Limited for a principal amount of $200,000. This loan accrues interest at an annual rate of 8.0%, with a single lump - sum repayment due 12 months from the disbursement date. Upon the original maturity of this loan, the Company and the borrower executed a loan extension agreement to renew this loan for an additional one-year term, effective as of June 26, 2026. Under the renewed agreement, the outstanding principal balance of $200,000 continues to accrue interest at a reduced annual rate of 5%, and will mature on June 25, 2027. The accrued and unpaid interest receivable under the original loan agreement was excluded from the renewed principal amount. As of the date of this report, no principal repayments and accrued interest have been collected on this loan, with remaining principal of $200,000 and interest of $16,333 to be collected subsequently.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May 11, 2026, the Company entered into a one-year unsecured short-term loan agreement with Asia Finance Investment Limited for a principal amount of $1,000,000. This loan carries an annual interest rate of 5.0% and is set to mature in 12 months, with an option to extend for an additional 12 months. As of the date of this report, no principal repayments and accrued interest have been collected on this loan, with remaining principal of $1,000,000 and interest of $6,944 to be collected subsequently.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May 21, 2026, the Company entered into a one-year unsecured short-term loan agreement with Asia Finance Investment Limited for a principal amount of $600,000. This loan carries an annual interest rate of 5.0% and is set to mature in 12 months, with an option to extend for an additional 12 months. As of the date of this report, no principal repayments and accrued interest have been collected on this loan, with remaining principal of $600,000 and interest of $3,333 to be collected subsequently.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June 26, 2026, the Company entered into a one-year unsecured short-term loan agreement with Asia Finance Investment Limited for a principal amount of $1,410,000. This loan carries an annual interest rate of 5.0% and is set to mature in 12 months, with an option to extend for an additional 12 months. As of the date of this report, no principal repayments and accrued interest have been collected on this loan, with remaining principal of $1,410,000 and interest of $783 to be collected subsequently.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six months ended June 30, 2026 and 2025, the Company evaluated the need for credit loss for loan receivable in accordance with the CECL model. In assessing the CECL, the Company considers both quantitative and qualitative information that is reasonable and supportable, including historical credit loss experience, adjusted for relevant factors impacting collectability and forward-looking information indicative of external market conditions.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Interest income for the three and six months ended June 30, 2026 was $261,523 and $412,608, respectively. These amounts were accrued and recognized as interest receivable.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three and six months ended June 30, 2025, the Company recorded interest income of $272,228 and $474,896 from short-term loan receivables, respectively.</w:t>
      </w:r>
    </w:p>
    <w:p>
      <w:pPr>
        <w:pStyle w:val="TextBody"/>
        <w:bidi w:val="0"/>
        <w:spacing w:before="0" w:after="240"/>
        <w:ind w:left="0" w:right="0" w:hanging="0"/>
        <w:jc w:val="both"/>
        <w:rPr>
          <w:rFonts w:ascii="Times New Roman;Times;serif" w:hAnsi="Times New Roman;Times;serif"/>
          <w:b/>
          <w:sz w:val="20"/>
        </w:rPr>
      </w:pPr>
      <w:bookmarkStart w:id="871" w:name="Tc_HYQJdcrQAUyt-A_7btKrXQ_5_5"/>
      <w:bookmarkStart w:id="872" w:name="Tc_59vd9JiyDUup9fdWJTgY3w_5_2"/>
      <w:bookmarkStart w:id="873" w:name="Tc_5PcCNIiWU0GCf820km2TLQ_5_0"/>
      <w:bookmarkStart w:id="874" w:name="Tc_I0J9avWNvUWv1h-NgEDxwQ_4_0"/>
      <w:bookmarkStart w:id="875" w:name="Tc_NIJ2fRHD4EWQ_qOH-r4WHA_3_0"/>
      <w:bookmarkStart w:id="876" w:name="Tc_fzRhwBQSt0yaqWJMjoRmHg_2_5"/>
      <w:bookmarkStart w:id="877" w:name="Tc_QelEFckNcUOOqZqCwdeE0A_2_2"/>
      <w:bookmarkStart w:id="878" w:name="Tc_KADhMTl06UyGbsF0AqUAvQ_2_0"/>
      <w:bookmarkStart w:id="879" w:name="Tc_1dUVlKiHS0CdsjQa_nYbzg_1_5"/>
      <w:bookmarkStart w:id="880" w:name="Tc_01w9n1VNtkqQCDlWFIGL1A_1_2"/>
      <w:bookmarkStart w:id="881" w:name="_f84a5d5f_7db4_404f_8084_eb5a14ac75d8"/>
      <w:bookmarkEnd w:id="871"/>
      <w:bookmarkEnd w:id="872"/>
      <w:bookmarkEnd w:id="873"/>
      <w:bookmarkEnd w:id="874"/>
      <w:bookmarkEnd w:id="875"/>
      <w:bookmarkEnd w:id="876"/>
      <w:bookmarkEnd w:id="877"/>
      <w:bookmarkEnd w:id="878"/>
      <w:bookmarkEnd w:id="879"/>
      <w:bookmarkEnd w:id="880"/>
      <w:bookmarkEnd w:id="881"/>
      <w:r>
        <w:rPr>
          <w:rFonts w:ascii="Times New Roman;Times;serif" w:hAnsi="Times New Roman;Times;serif"/>
          <w:b/>
          <w:sz w:val="20"/>
        </w:rPr>
        <w:t>NOTE 4 — OTHER RECEIVABLES, NET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receivables consisted of the following:</w:t>
      </w:r>
    </w:p>
    <w:p>
      <w:pPr>
        <w:pStyle w:val="TextBody"/>
        <w:bidi w:val="0"/>
        <w:spacing w:before="0" w:after="240"/>
        <w:ind w:left="0" w:right="0" w:hanging="0"/>
        <w:jc w:val="both"/>
        <w:rPr/>
      </w:pPr>
      <w:r>
        <w:rPr/>
        <w:t>​</w:t>
      </w:r>
    </w:p>
    <w:tbl>
      <w:tblPr>
        <w:tblW w:w="5794" w:type="dxa"/>
        <w:jc w:val="left"/>
        <w:tblInd w:w="0" w:type="dxa"/>
        <w:tblLayout w:type="fixed"/>
        <w:tblCellMar>
          <w:top w:w="0" w:type="dxa"/>
          <w:left w:w="0" w:type="dxa"/>
          <w:bottom w:w="0" w:type="dxa"/>
          <w:right w:w="0" w:type="dxa"/>
        </w:tblCellMar>
      </w:tblPr>
      <w:tblGrid>
        <w:gridCol w:w="2431"/>
        <w:gridCol w:w="346"/>
        <w:gridCol w:w="239"/>
        <w:gridCol w:w="887"/>
        <w:gridCol w:w="346"/>
        <w:gridCol w:w="261"/>
        <w:gridCol w:w="1284"/>
      </w:tblGrid>
      <w:tr>
        <w:trPr/>
        <w:tc>
          <w:tcPr>
            <w:tcW w:w="2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543685" cy="175260"/>
                      <wp:effectExtent l="0" t="0" r="0" b="0"/>
                      <wp:wrapNone/>
                      <wp:docPr id="135" name="Frame135"/>
                      <a:graphic xmlns:a="http://schemas.openxmlformats.org/drawingml/2006/main">
                        <a:graphicData uri="http://schemas.microsoft.com/office/word/2010/wordprocessingShape">
                          <wps:wsp>
                            <wps:cNvSpPr txBox="1"/>
                            <wps:spPr>
                              <a:xfrm>
                                <a:off x="0" y="0"/>
                                <a:ext cx="1543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19710" cy="175260"/>
                      <wp:effectExtent l="0" t="0" r="0" b="0"/>
                      <wp:wrapNone/>
                      <wp:docPr id="136" name="Frame1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51765" cy="175260"/>
                      <wp:effectExtent l="0" t="0" r="0" b="0"/>
                      <wp:wrapNone/>
                      <wp:docPr id="137" name="Frame137"/>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563245" cy="175260"/>
                      <wp:effectExtent l="0" t="0" r="0" b="0"/>
                      <wp:wrapNone/>
                      <wp:docPr id="138" name="Frame138"/>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19710" cy="175260"/>
                      <wp:effectExtent l="0" t="0" r="0" b="0"/>
                      <wp:wrapNone/>
                      <wp:docPr id="139" name="Frame1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65735" cy="175260"/>
                      <wp:effectExtent l="0" t="0" r="0" b="0"/>
                      <wp:wrapNone/>
                      <wp:docPr id="140" name="Frame140"/>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815340" cy="175260"/>
                      <wp:effectExtent l="0" t="0" r="0" b="0"/>
                      <wp:wrapNone/>
                      <wp:docPr id="141" name="Frame141"/>
                      <a:graphic xmlns:a="http://schemas.openxmlformats.org/drawingml/2006/main">
                        <a:graphicData uri="http://schemas.microsoft.com/office/word/2010/wordprocessingShape">
                          <wps:wsp>
                            <wps:cNvSpPr txBox="1"/>
                            <wps:spPr>
                              <a:xfrm>
                                <a:off x="0" y="0"/>
                                <a:ext cx="815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center"/>
              <w:rPr/>
            </w:pPr>
            <w:r>
              <w:rPr/>
              <w:t>  ​ ​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24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Rent Deposit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102,241</w:t>
            </w:r>
          </w:p>
        </w:tc>
      </w:tr>
      <w:tr>
        <w:trPr/>
        <w:tc>
          <w:tcPr>
            <w:tcW w:w="2431"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Interest Receivable</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846,440</w:t>
            </w:r>
          </w:p>
        </w:tc>
        <w:tc>
          <w:tcPr>
            <w:tcW w:w="3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12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1,039,644</w:t>
            </w:r>
          </w:p>
        </w:tc>
      </w:tr>
      <w:tr>
        <w:trPr/>
        <w:tc>
          <w:tcPr>
            <w:tcW w:w="24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14,011</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15,245</w:t>
            </w:r>
          </w:p>
        </w:tc>
      </w:tr>
      <w:tr>
        <w:trPr/>
        <w:tc>
          <w:tcPr>
            <w:tcW w:w="24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Receivables, net</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960,451</w:t>
            </w:r>
          </w:p>
        </w:tc>
        <w:tc>
          <w:tcPr>
            <w:tcW w:w="346" w:type="dxa"/>
            <w:tcBorders/>
            <w:vAlign w:val="center"/>
          </w:tcPr>
          <w:p>
            <w:pPr>
              <w:pStyle w:val="TableContents"/>
              <w:bidi w:val="0"/>
              <w:spacing w:before="0" w:after="0"/>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4"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1,157,130</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18"/>
        <w:gridCol w:w="9887"/>
      </w:tblGrid>
      <w:tr>
        <w:trPr/>
        <w:tc>
          <w:tcPr>
            <w:tcW w:w="3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receivable primarily relates to accrued interest from loan agreements disclosed in Note 3- Loan Receivable. For further details on the loan arrangements generating these interest receivables, refer to Note 3.</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5 — RECEIVABLE FROM WITHDRAWAL OF INVESTMENT DEPOSIT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January 6, 2026, Naiside (Shenzhen) International Trading Co., Ltd. (“Naiside”), a wholly owned subsidiary of NexTrade International LLC (“NexTrade”), entered into a partnership agreement (the “Partnership Agreement”) with Shanghai Kesheng Investment Management Co., Ltd. (“Shanghai Kesheng”), in its capacity as the general partner and executive partner of an investment fund in the PRC, pursuant to which Naiside participated in the fund as a limited partner. Pursuant to the Partnership Agreement, Naiside subscribed for a 7.0% limited partnership interest and, on January 29, 2026, made a capital contribution to the fund in the amount of RMB 280,000,000 (approximately US$41,110,573). The fund is intended to invest primarily in China-based companies engaged in logistics technology, compliance technology, and supply chain technology and services, particularly those that provide products or services to customers in the U.S. and European markets. The fund will focus primarily on companies at the venture capital stage, with each individual portfolio investment generally ranging from approximately US$0.7 million to US$7.0 million. The Partnership Agreement provides that the fund shall pay Shanghai Kesheng an annual management fee equal to 2% of the fund’s paid-in capital. It further provides that, following the exit of any portfolio investment and the fund’s receipt of the applicable proceeds, the fund shall distribute the available proceeds to its limited partners after deducting or reserving amounts for the applicable investment principal, Shanghai Kesheng’s entitlement to 30% of the net profits from such exit, and any other amounts payable or required to be reserved under the Partnership Agreement. Shanghai Kesheng is responsible for the execution of the fund’s affairs.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June 30, 2026, Naiside and Shanghai Kesheng entered into an agreement to terminate the Partnership Agreement (the “Termination Agreement”). Pursuant to the Termination Agreement, the parties agreed to immediately terminate the Partnership Agreement. Shanghai Kesheng agreed to return the full amount of RMB 280,000,000 to Naiside as soon as practicable. The parties further agreed that all rights and obligations arising under the Partnership Agreement, including their respective partnership rights, contribution obligations, and arrangements relating to the allocation of profits and losses, would terminate, and that neither party would pursue claims against the other arising from the performance of the Partnership Agreement, except with respect to the rights and obligations arising under the Termination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August 10, 2026, Naiside and Shanghai Kesheng entered into a first amendment to the Termination Agreement (the “First Amendment”) to establish the repayment arrangements, overdue interest, and liability for default. Pursuant to the First Amendment, Shanghai Kesheng is required to repay the full RMB 280,000,000 to Naiside in a single lump-sum payment on or before December 30, 2026, without deduction of any handling fee, service fee, management fee, or other charge or expense. Shanghai Kesheng’s repayment obligation will be deemed fully discharged only upon Naiside’s receipt of the full amount in immediately available funds in its designated bank account. If the full amount is not repaid by December 30, 2026, the outstanding principal will accrue overdue interest commencing on December 31, 2026, at a rate of 5% per annum, calculated on a simple-interest basis based on the actual number of days overdue.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Following the execution of the Termination Agreement, the Company’s economic interest in the fund no longer represented an deposit on investment in the fund but instead represented a receivable from Shanghai Kesheng for the unconditional return of Naiside’s capital contribution. Accordingly, on June 30, 2026, the Company reclassified the balance from deposit on a long-term investment to a receivable measured at the U.S. dollar equivalent of RMB 280,000,000, translated at the spot exchange rate prevailing on June 30, 2026. The receivable is a foreign-currency-denominated monetary asset, and unrealized foreign exchange gains and losses arising from translation at each reporting date are recognized in earnings pursuant to ASC 830. Interest income is not accrued on the principal amount of the receivable prior to a default. If the contractual repayment deadline of December 30, 2026 is not met, overdue interest at a rate of 5% per annum will be recognized from December 31, 2026 through the date of settlement.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receivable is assessed for credit losses under ASC 326 (CECL) based on the Company’s assessment of Shanghai Kesheng’s credit risk, including its obligation under Article 5 of the First Amendment to safeguard the funds pending repayment. As of June 30, 2026, the Company had not recorded an allowance for credit losses. The Company will continue to monitor the credit risk associated with this receivable, including any deterioration in Shanghai Kesheng’s financial condition or failure to comply with the safeguarding covenant, and will record an allowance as required.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882" w:name="Tc_akYw-tEtNkSPI7j3JvjOXg_19_2"/>
      <w:bookmarkStart w:id="883" w:name="Tc_4mO1-IKelEa-gtWs5XKXhA_19_0"/>
      <w:bookmarkStart w:id="884" w:name="Tc_KE-bmP_VcE2gwtvhU9wt8A_18_3"/>
      <w:bookmarkStart w:id="885" w:name="Tc_2_27WSG2kkGq3oTZ6UkGjA_18_0"/>
      <w:bookmarkStart w:id="886" w:name="Tc_NrPoCyjq-UOjV8372bb6Iw_17_0"/>
      <w:bookmarkStart w:id="887" w:name="Tc_X3MO2jjk8EKPi2SLCdRV0w_16_0"/>
      <w:bookmarkStart w:id="888" w:name="Tc_MZEESQbjMEWzHIhgeTprUg_14_0"/>
      <w:bookmarkStart w:id="889" w:name="Tc_Ef8Uy7CfKkSKxJrnQX2ZKQ_13_0"/>
      <w:bookmarkStart w:id="890" w:name="Tc_205m6jX1PE6Zn2CCcJDlHw_12_0"/>
      <w:bookmarkStart w:id="891" w:name="Tc_EHH2HHj6KkmGKDPxB2Rteg_10_0"/>
      <w:bookmarkStart w:id="892" w:name="Tc_7qYR3Gorp0Kq6B5g61gaJQ_9_0"/>
      <w:bookmarkStart w:id="893" w:name="Tc_MqyRWKSjcUiEpkki6g4rEw_8_0"/>
      <w:bookmarkStart w:id="894" w:name="Tc_eH0n6M_nhk2g-4redOF0vQ_7_0"/>
      <w:bookmarkStart w:id="895" w:name="Tc_lZD97rA6tkKfGZMY6T0Njw_6_3"/>
      <w:bookmarkStart w:id="896" w:name="Tc_DYWHQg1e9Ea4HO5KD-Jf-g_6_0"/>
      <w:bookmarkStart w:id="897" w:name="Tc_TOxwSqMHckydpicaAAp4Yw_5_2"/>
      <w:bookmarkStart w:id="898" w:name="Tc_Daf7s7Rmg0O4M-Fy13iDDg_5_0"/>
      <w:bookmarkStart w:id="899" w:name="Tc_3b-OpV_pIUuTYwlCrgW3Aw_4_0"/>
      <w:bookmarkStart w:id="900" w:name="Tc_Imfid4AA7ESFvCTXUU5Yeg_3_2"/>
      <w:bookmarkStart w:id="901" w:name="Tc_uBfIO7h-eUmr9CN7ZF3mSw_2_2"/>
      <w:bookmarkStart w:id="902" w:name="Tc_88Sa-cn1N0KqMFuVtHiEXw_1_2"/>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r>
        <w:rPr>
          <w:rFonts w:ascii="Times New Roman;Times;serif" w:hAnsi="Times New Roman;Times;serif"/>
          <w:b/>
          <w:sz w:val="20"/>
        </w:rPr>
        <w:t>NOTE 6 — DISCONTINUED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3, 2025, the Company’s board of directors approved the discontinuation of the Company’s parallel-import vehicles business authorizing the writing off of receivables, and winding down of operations in compliance with applicable legal and regulatory requirements. In accordance with ASC 205-20, Presentation of Financial Statements — Discontinued Operations, the Company determined that the parallel-import vehicle segment met the conditions for reporting as a discontinued operation. As a result, all financial results associated with this business have been reclassified as discontinued operations in the accompanying consolidated financial statements for all periods presented.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Accounts Receivable, net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parallel-import vehicle business was negatively impacted by deteriorating macroeconomic conditions since the second half of 2022. Several aged accounts receivable were concentrated among four long-term customers, who were in the process of business recovery. These receivables were partially backed by third-party guarantees, providing some assurance of collection. During the year ended December 31, 2024, the Company collected approximately $4.0 million related to accounts receivable generated in prior periods and earlier in the year. As of December 31, 2024, the Company had gross accounts receivable of approximately $4.1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conducted an initial assessment of collectability and recognized a credit loss of $1.1 million for accounts deemed uncollectible during the first three quarters of 2024. During the year-end CECL reassessment, the Company evaluated expected credit losses based on historical loss trends, customer risk factors, and forward-looking economic conditions, and provided an additional credit loss provision of $475,366 in the fourth quarter of 2024, resulting in a total allowance for credit loss of $1.6 million for the year ended December 31,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Subsequently, the Company collected an additional $2.5 million of the outstanding balance. On March 3, 2025, following the Board’s approved decision on discontinued operations, the Company had zero account receivable balance after the above-mentioned credit loss of $1.6 million and the subsequent collection of additional $2.5 million outstanding balance.</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Cash Flows from discontinued operations</w:t>
      </w:r>
    </w:p>
    <w:p>
      <w:pPr>
        <w:pStyle w:val="TextBody"/>
        <w:bidi w:val="0"/>
        <w:spacing w:before="0" w:after="240"/>
        <w:ind w:left="0" w:right="0" w:hanging="0"/>
        <w:jc w:val="left"/>
        <w:rPr/>
      </w:pPr>
      <w:r>
        <w:rPr/>
        <w:t>​</w:t>
      </w:r>
    </w:p>
    <w:tbl>
      <w:tblPr>
        <w:tblW w:w="7472" w:type="dxa"/>
        <w:jc w:val="left"/>
        <w:tblInd w:w="0" w:type="dxa"/>
        <w:tblLayout w:type="fixed"/>
        <w:tblCellMar>
          <w:top w:w="0" w:type="dxa"/>
          <w:left w:w="0" w:type="dxa"/>
          <w:bottom w:w="0" w:type="dxa"/>
          <w:right w:w="0" w:type="dxa"/>
        </w:tblCellMar>
      </w:tblPr>
      <w:tblGrid>
        <w:gridCol w:w="5041"/>
        <w:gridCol w:w="346"/>
        <w:gridCol w:w="336"/>
        <w:gridCol w:w="1749"/>
      </w:tblGrid>
      <w:tr>
        <w:trPr/>
        <w:tc>
          <w:tcPr>
            <w:tcW w:w="5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3201035" cy="175260"/>
                      <wp:effectExtent l="0" t="0" r="0" b="0"/>
                      <wp:wrapNone/>
                      <wp:docPr id="142" name="Frame142"/>
                      <a:graphic xmlns:a="http://schemas.openxmlformats.org/drawingml/2006/main">
                        <a:graphicData uri="http://schemas.microsoft.com/office/word/2010/wordprocessingShape">
                          <wps:wsp>
                            <wps:cNvSpPr txBox="1"/>
                            <wps:spPr>
                              <a:xfrm>
                                <a:off x="0" y="0"/>
                                <a:ext cx="3201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19710" cy="175260"/>
                      <wp:effectExtent l="0" t="0" r="0" b="0"/>
                      <wp:wrapNone/>
                      <wp:docPr id="143" name="Frame1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13360" cy="175260"/>
                      <wp:effectExtent l="0" t="0" r="0" b="0"/>
                      <wp:wrapNone/>
                      <wp:docPr id="144" name="Frame144"/>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110615" cy="175260"/>
                      <wp:effectExtent l="0" t="0" r="0" b="0"/>
                      <wp:wrapNone/>
                      <wp:docPr id="145" name="Frame145"/>
                      <a:graphic xmlns:a="http://schemas.openxmlformats.org/drawingml/2006/main">
                        <a:graphicData uri="http://schemas.microsoft.com/office/word/2010/wordprocessingShape">
                          <wps:wsp>
                            <wps:cNvSpPr txBox="1"/>
                            <wps:spPr>
                              <a:xfrm>
                                <a:off x="0" y="0"/>
                                <a:ext cx="1110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0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0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50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0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0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0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04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46" w:type="dxa"/>
            <w:tcBorders/>
            <w:shd w:fill="CCEEFF" w:val="clear"/>
            <w:vAlign w:val="center"/>
          </w:tcPr>
          <w:p>
            <w:pPr>
              <w:pStyle w:val="TableContents"/>
              <w:bidi w:val="0"/>
              <w:spacing w:before="0" w:after="1"/>
              <w:ind w:left="0" w:right="0" w:hanging="0"/>
              <w:jc w:val="left"/>
              <w:rPr/>
            </w:pPr>
            <w:r>
              <w:rPr/>
              <w:t> </w:t>
            </w:r>
          </w:p>
        </w:tc>
        <w:tc>
          <w:tcPr>
            <w:tcW w:w="336" w:type="dxa"/>
            <w:tcBorders/>
            <w:shd w:fill="CCEEFF" w:val="clear"/>
            <w:vAlign w:val="center"/>
          </w:tcPr>
          <w:p>
            <w:pPr>
              <w:pStyle w:val="TableContents"/>
              <w:bidi w:val="0"/>
              <w:spacing w:before="0" w:after="1"/>
              <w:ind w:left="0" w:right="0" w:hanging="0"/>
              <w:jc w:val="left"/>
              <w:rPr/>
            </w:pPr>
            <w:r>
              <w:rPr/>
              <w:t>​</w:t>
            </w:r>
          </w:p>
        </w:tc>
        <w:tc>
          <w:tcPr>
            <w:tcW w:w="1749" w:type="dxa"/>
            <w:tcBorders/>
            <w:shd w:fill="CCEEFF" w:val="clear"/>
            <w:vAlign w:val="center"/>
          </w:tcPr>
          <w:p>
            <w:pPr>
              <w:pStyle w:val="TableContents"/>
              <w:bidi w:val="0"/>
              <w:spacing w:before="0" w:after="1"/>
              <w:ind w:left="0" w:right="0" w:hanging="0"/>
              <w:jc w:val="right"/>
              <w:rPr/>
            </w:pPr>
            <w:r>
              <w:rPr/>
              <w:t>  ​</w:t>
            </w:r>
          </w:p>
        </w:tc>
      </w:tr>
      <w:tr>
        <w:trPr/>
        <w:tc>
          <w:tcPr>
            <w:tcW w:w="5041"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46" w:type="dxa"/>
            <w:tcBorders/>
            <w:vAlign w:val="center"/>
          </w:tcPr>
          <w:p>
            <w:pPr>
              <w:pStyle w:val="TableContents"/>
              <w:bidi w:val="0"/>
              <w:spacing w:before="0" w:after="1"/>
              <w:ind w:left="0" w:right="0" w:hanging="0"/>
              <w:jc w:val="left"/>
              <w:rPr/>
            </w:pPr>
            <w:r>
              <w:rPr/>
              <w:t>​</w:t>
            </w:r>
          </w:p>
        </w:tc>
        <w:tc>
          <w:tcPr>
            <w:tcW w:w="33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749"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(1,266,437)</w:t>
            </w:r>
          </w:p>
        </w:tc>
      </w:tr>
      <w:tr>
        <w:trPr/>
        <w:tc>
          <w:tcPr>
            <w:tcW w:w="504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Loss from discontinued operations, net of tax</w:t>
            </w:r>
          </w:p>
        </w:tc>
        <w:tc>
          <w:tcPr>
            <w:tcW w:w="346" w:type="dxa"/>
            <w:tcBorders/>
            <w:shd w:fill="CCEEFF" w:val="clear"/>
            <w:vAlign w:val="center"/>
          </w:tcPr>
          <w:p>
            <w:pPr>
              <w:pStyle w:val="TableContents"/>
              <w:bidi w:val="0"/>
              <w:spacing w:before="0" w:after="1"/>
              <w:ind w:left="0" w:right="0" w:hanging="0"/>
              <w:jc w:val="left"/>
              <w:rPr/>
            </w:pPr>
            <w:r>
              <w:rPr/>
              <w:t>​</w:t>
            </w:r>
          </w:p>
        </w:tc>
        <w:tc>
          <w:tcPr>
            <w:tcW w:w="336" w:type="dxa"/>
            <w:tcBorders/>
            <w:shd w:fill="CCEEFF" w:val="clear"/>
            <w:vAlign w:val="center"/>
          </w:tcPr>
          <w:p>
            <w:pPr>
              <w:pStyle w:val="TableContents"/>
              <w:bidi w:val="0"/>
              <w:spacing w:before="0" w:after="1"/>
              <w:ind w:left="0" w:right="0" w:hanging="0"/>
              <w:jc w:val="left"/>
              <w:rPr/>
            </w:pPr>
            <w:r>
              <w:rPr/>
              <w:t> </w:t>
            </w:r>
          </w:p>
        </w:tc>
        <w:tc>
          <w:tcPr>
            <w:tcW w:w="1749" w:type="dxa"/>
            <w:tcBorders/>
            <w:shd w:fill="CCEEFF" w:val="clear"/>
            <w:vAlign w:val="center"/>
          </w:tcPr>
          <w:p>
            <w:pPr>
              <w:pStyle w:val="TableContents"/>
              <w:bidi w:val="0"/>
              <w:spacing w:before="0" w:after="1"/>
              <w:ind w:left="0" w:right="0" w:hanging="0"/>
              <w:jc w:val="right"/>
              <w:rPr/>
            </w:pPr>
            <w:r>
              <w:rPr/>
              <w:t>—</w:t>
            </w:r>
          </w:p>
        </w:tc>
      </w:tr>
      <w:tr>
        <w:trPr/>
        <w:tc>
          <w:tcPr>
            <w:tcW w:w="504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continuing operations</w:t>
            </w:r>
          </w:p>
        </w:tc>
        <w:tc>
          <w:tcPr>
            <w:tcW w:w="346" w:type="dxa"/>
            <w:tcBorders/>
            <w:vAlign w:val="center"/>
          </w:tcPr>
          <w:p>
            <w:pPr>
              <w:pStyle w:val="TableContents"/>
              <w:bidi w:val="0"/>
              <w:spacing w:before="0" w:after="1"/>
              <w:ind w:left="0" w:right="0" w:hanging="0"/>
              <w:jc w:val="left"/>
              <w:rPr/>
            </w:pPr>
            <w:r>
              <w:rPr/>
              <w:t>​</w:t>
            </w:r>
          </w:p>
        </w:tc>
        <w:tc>
          <w:tcPr>
            <w:tcW w:w="336" w:type="dxa"/>
            <w:tcBorders/>
            <w:vAlign w:val="center"/>
          </w:tcPr>
          <w:p>
            <w:pPr>
              <w:pStyle w:val="TableContents"/>
              <w:bidi w:val="0"/>
              <w:spacing w:before="0" w:after="1"/>
              <w:ind w:left="0" w:right="0" w:hanging="0"/>
              <w:jc w:val="left"/>
              <w:rPr/>
            </w:pPr>
            <w:r>
              <w:rPr/>
              <w:t> </w:t>
            </w:r>
          </w:p>
        </w:tc>
        <w:tc>
          <w:tcPr>
            <w:tcW w:w="17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(1,266,437)</w:t>
            </w:r>
          </w:p>
        </w:tc>
      </w:tr>
      <w:tr>
        <w:trPr/>
        <w:tc>
          <w:tcPr>
            <w:tcW w:w="504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used in operations-continuing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336" w:type="dxa"/>
            <w:tcBorders/>
            <w:shd w:fill="CCEEFF" w:val="clear"/>
            <w:vAlign w:val="center"/>
          </w:tcPr>
          <w:p>
            <w:pPr>
              <w:pStyle w:val="TableContents"/>
              <w:bidi w:val="0"/>
              <w:spacing w:before="0" w:after="1"/>
              <w:ind w:left="0" w:right="0" w:hanging="0"/>
              <w:jc w:val="left"/>
              <w:rPr/>
            </w:pPr>
            <w:r>
              <w:rPr/>
              <w:t> </w:t>
            </w:r>
          </w:p>
        </w:tc>
        <w:tc>
          <w:tcPr>
            <w:tcW w:w="17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(1,206,833)</w:t>
            </w:r>
          </w:p>
        </w:tc>
      </w:tr>
      <w:tr>
        <w:trPr/>
        <w:tc>
          <w:tcPr>
            <w:tcW w:w="504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provided by operations-discontinued operations</w:t>
            </w:r>
          </w:p>
        </w:tc>
        <w:tc>
          <w:tcPr>
            <w:tcW w:w="346" w:type="dxa"/>
            <w:tcBorders/>
            <w:vAlign w:val="center"/>
          </w:tcPr>
          <w:p>
            <w:pPr>
              <w:pStyle w:val="TableContents"/>
              <w:bidi w:val="0"/>
              <w:spacing w:before="0" w:after="1"/>
              <w:ind w:left="0" w:right="0" w:hanging="0"/>
              <w:jc w:val="left"/>
              <w:rPr/>
            </w:pPr>
            <w:r>
              <w:rPr/>
              <w:t>​</w:t>
            </w:r>
          </w:p>
        </w:tc>
        <w:tc>
          <w:tcPr>
            <w:tcW w:w="33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7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2,540,501</w:t>
            </w:r>
          </w:p>
        </w:tc>
      </w:tr>
      <w:tr>
        <w:trPr/>
        <w:tc>
          <w:tcPr>
            <w:tcW w:w="504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cash provided by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33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7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1,333,668</w:t>
            </w:r>
          </w:p>
        </w:tc>
      </w:tr>
      <w:tr>
        <w:trPr/>
        <w:tc>
          <w:tcPr>
            <w:tcW w:w="50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36" w:type="dxa"/>
            <w:tcBorders/>
            <w:vAlign w:val="center"/>
          </w:tcPr>
          <w:p>
            <w:pPr>
              <w:pStyle w:val="TableContents"/>
              <w:bidi w:val="0"/>
              <w:spacing w:before="0" w:after="1"/>
              <w:ind w:left="0" w:right="0" w:hanging="0"/>
              <w:jc w:val="left"/>
              <w:rPr/>
            </w:pPr>
            <w:r>
              <w:rPr/>
              <w:t>​</w:t>
            </w:r>
          </w:p>
        </w:tc>
        <w:tc>
          <w:tcPr>
            <w:tcW w:w="1749" w:type="dxa"/>
            <w:tcBorders/>
            <w:vAlign w:val="center"/>
          </w:tcPr>
          <w:p>
            <w:pPr>
              <w:pStyle w:val="TableContents"/>
              <w:bidi w:val="0"/>
              <w:spacing w:before="0" w:after="1"/>
              <w:ind w:left="0" w:right="0" w:hanging="0"/>
              <w:jc w:val="left"/>
              <w:rPr/>
            </w:pPr>
            <w:r>
              <w:rPr/>
              <w:t>​</w:t>
            </w:r>
          </w:p>
        </w:tc>
      </w:tr>
      <w:tr>
        <w:trPr/>
        <w:tc>
          <w:tcPr>
            <w:tcW w:w="504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336" w:type="dxa"/>
            <w:tcBorders/>
            <w:shd w:fill="CCEEFF" w:val="clear"/>
            <w:vAlign w:val="center"/>
          </w:tcPr>
          <w:p>
            <w:pPr>
              <w:pStyle w:val="TableContents"/>
              <w:bidi w:val="0"/>
              <w:spacing w:before="0" w:after="1"/>
              <w:ind w:left="0" w:right="0" w:hanging="0"/>
              <w:jc w:val="left"/>
              <w:rPr/>
            </w:pPr>
            <w:r>
              <w:rPr/>
              <w:t> </w:t>
            </w:r>
          </w:p>
        </w:tc>
        <w:tc>
          <w:tcPr>
            <w:tcW w:w="1749" w:type="dxa"/>
            <w:tcBorders/>
            <w:shd w:fill="CCEEFF" w:val="clear"/>
            <w:vAlign w:val="center"/>
          </w:tcPr>
          <w:p>
            <w:pPr>
              <w:pStyle w:val="TableContents"/>
              <w:bidi w:val="0"/>
              <w:spacing w:before="0" w:after="1"/>
              <w:ind w:left="0" w:right="0" w:hanging="0"/>
              <w:jc w:val="right"/>
              <w:rPr/>
            </w:pPr>
            <w:r>
              <w:rPr/>
              <w:t>​</w:t>
            </w:r>
          </w:p>
        </w:tc>
      </w:tr>
      <w:tr>
        <w:trPr/>
        <w:tc>
          <w:tcPr>
            <w:tcW w:w="504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used in investing activities-continuing operations</w:t>
            </w:r>
          </w:p>
        </w:tc>
        <w:tc>
          <w:tcPr>
            <w:tcW w:w="346" w:type="dxa"/>
            <w:tcBorders/>
            <w:vAlign w:val="center"/>
          </w:tcPr>
          <w:p>
            <w:pPr>
              <w:pStyle w:val="TableContents"/>
              <w:bidi w:val="0"/>
              <w:spacing w:before="0" w:after="1"/>
              <w:ind w:left="0" w:right="0" w:hanging="0"/>
              <w:jc w:val="left"/>
              <w:rPr/>
            </w:pPr>
            <w:r>
              <w:rPr/>
              <w:t>​</w:t>
            </w:r>
          </w:p>
        </w:tc>
        <w:tc>
          <w:tcPr>
            <w:tcW w:w="336" w:type="dxa"/>
            <w:tcBorders/>
            <w:vAlign w:val="center"/>
          </w:tcPr>
          <w:p>
            <w:pPr>
              <w:pStyle w:val="TableContents"/>
              <w:bidi w:val="0"/>
              <w:spacing w:before="0" w:after="1"/>
              <w:ind w:left="0" w:right="0" w:hanging="0"/>
              <w:jc w:val="left"/>
              <w:rPr/>
            </w:pPr>
            <w:r>
              <w:rPr/>
              <w:t> </w:t>
            </w:r>
          </w:p>
        </w:tc>
        <w:tc>
          <w:tcPr>
            <w:tcW w:w="17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(2,661,150)</w:t>
            </w:r>
          </w:p>
        </w:tc>
      </w:tr>
      <w:tr>
        <w:trPr/>
        <w:tc>
          <w:tcPr>
            <w:tcW w:w="504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cash used in investing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336" w:type="dxa"/>
            <w:tcBorders/>
            <w:shd w:fill="CCEEFF" w:val="clear"/>
            <w:vAlign w:val="center"/>
          </w:tcPr>
          <w:p>
            <w:pPr>
              <w:pStyle w:val="TableContents"/>
              <w:bidi w:val="0"/>
              <w:spacing w:before="0" w:after="1"/>
              <w:ind w:left="0" w:right="0" w:hanging="0"/>
              <w:jc w:val="left"/>
              <w:rPr/>
            </w:pPr>
            <w:r>
              <w:rPr/>
              <w:t> </w:t>
            </w:r>
          </w:p>
        </w:tc>
        <w:tc>
          <w:tcPr>
            <w:tcW w:w="17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(2,661,150)</w:t>
            </w:r>
          </w:p>
        </w:tc>
      </w:tr>
      <w:tr>
        <w:trPr/>
        <w:tc>
          <w:tcPr>
            <w:tcW w:w="50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36" w:type="dxa"/>
            <w:tcBorders/>
            <w:vAlign w:val="center"/>
          </w:tcPr>
          <w:p>
            <w:pPr>
              <w:pStyle w:val="TableContents"/>
              <w:bidi w:val="0"/>
              <w:spacing w:before="0" w:after="1"/>
              <w:ind w:left="0" w:right="0" w:hanging="0"/>
              <w:jc w:val="left"/>
              <w:rPr/>
            </w:pPr>
            <w:r>
              <w:rPr/>
              <w:t>​</w:t>
            </w:r>
          </w:p>
        </w:tc>
        <w:tc>
          <w:tcPr>
            <w:tcW w:w="1749" w:type="dxa"/>
            <w:tcBorders/>
            <w:vAlign w:val="center"/>
          </w:tcPr>
          <w:p>
            <w:pPr>
              <w:pStyle w:val="TableContents"/>
              <w:bidi w:val="0"/>
              <w:spacing w:before="0" w:after="1"/>
              <w:ind w:left="0" w:right="0" w:hanging="0"/>
              <w:jc w:val="left"/>
              <w:rPr/>
            </w:pPr>
            <w:r>
              <w:rPr/>
              <w:t>​</w:t>
            </w:r>
          </w:p>
        </w:tc>
      </w:tr>
      <w:tr>
        <w:trPr/>
        <w:tc>
          <w:tcPr>
            <w:tcW w:w="504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336" w:type="dxa"/>
            <w:tcBorders/>
            <w:shd w:fill="CCEEFF" w:val="clear"/>
            <w:vAlign w:val="center"/>
          </w:tcPr>
          <w:p>
            <w:pPr>
              <w:pStyle w:val="TableContents"/>
              <w:bidi w:val="0"/>
              <w:spacing w:before="0" w:after="1"/>
              <w:ind w:left="0" w:right="0" w:hanging="0"/>
              <w:jc w:val="left"/>
              <w:rPr/>
            </w:pPr>
            <w:r>
              <w:rPr/>
              <w:t> </w:t>
            </w:r>
          </w:p>
        </w:tc>
        <w:tc>
          <w:tcPr>
            <w:tcW w:w="1749" w:type="dxa"/>
            <w:tcBorders/>
            <w:shd w:fill="CCEEFF" w:val="clear"/>
            <w:vAlign w:val="center"/>
          </w:tcPr>
          <w:p>
            <w:pPr>
              <w:pStyle w:val="TableContents"/>
              <w:bidi w:val="0"/>
              <w:spacing w:before="0" w:after="1"/>
              <w:ind w:left="0" w:right="0" w:hanging="0"/>
              <w:jc w:val="right"/>
              <w:rPr/>
            </w:pPr>
            <w:r>
              <w:rPr/>
              <w:t>​</w:t>
            </w:r>
          </w:p>
        </w:tc>
      </w:tr>
      <w:tr>
        <w:trPr/>
        <w:tc>
          <w:tcPr>
            <w:tcW w:w="504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provided by financing activities-continuing operations</w:t>
            </w:r>
          </w:p>
        </w:tc>
        <w:tc>
          <w:tcPr>
            <w:tcW w:w="346" w:type="dxa"/>
            <w:tcBorders/>
            <w:vAlign w:val="center"/>
          </w:tcPr>
          <w:p>
            <w:pPr>
              <w:pStyle w:val="TableContents"/>
              <w:bidi w:val="0"/>
              <w:spacing w:before="0" w:after="1"/>
              <w:ind w:left="0" w:right="0" w:hanging="0"/>
              <w:jc w:val="left"/>
              <w:rPr/>
            </w:pPr>
            <w:r>
              <w:rPr/>
              <w:t>​</w:t>
            </w:r>
          </w:p>
        </w:tc>
        <w:tc>
          <w:tcPr>
            <w:tcW w:w="336" w:type="dxa"/>
            <w:tcBorders/>
            <w:vAlign w:val="center"/>
          </w:tcPr>
          <w:p>
            <w:pPr>
              <w:pStyle w:val="TableContents"/>
              <w:bidi w:val="0"/>
              <w:spacing w:before="0" w:after="1"/>
              <w:ind w:left="0" w:right="0" w:hanging="0"/>
              <w:jc w:val="left"/>
              <w:rPr/>
            </w:pPr>
            <w:r>
              <w:rPr/>
              <w:t> </w:t>
            </w:r>
          </w:p>
        </w:tc>
        <w:tc>
          <w:tcPr>
            <w:tcW w:w="17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(138,294)</w:t>
            </w:r>
          </w:p>
        </w:tc>
      </w:tr>
      <w:tr>
        <w:trPr/>
        <w:tc>
          <w:tcPr>
            <w:tcW w:w="504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used in financing activities-discontinued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33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7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5041"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cash used in discontinued financing activities</w:t>
            </w:r>
          </w:p>
        </w:tc>
        <w:tc>
          <w:tcPr>
            <w:tcW w:w="346" w:type="dxa"/>
            <w:tcBorders/>
            <w:vAlign w:val="center"/>
          </w:tcPr>
          <w:p>
            <w:pPr>
              <w:pStyle w:val="TableContents"/>
              <w:bidi w:val="0"/>
              <w:spacing w:before="0" w:after="1"/>
              <w:ind w:left="0" w:right="0" w:hanging="0"/>
              <w:jc w:val="left"/>
              <w:rPr/>
            </w:pPr>
            <w:r>
              <w:rPr/>
              <w:t>​</w:t>
            </w:r>
          </w:p>
        </w:tc>
        <w:tc>
          <w:tcPr>
            <w:tcW w:w="33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7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(138,294)</w:t>
            </w:r>
          </w:p>
        </w:tc>
      </w:tr>
    </w:tbl>
    <w:p>
      <w:pPr>
        <w:pStyle w:val="TextBody"/>
        <w:bidi w:val="0"/>
        <w:spacing w:before="0" w:after="240"/>
        <w:ind w:left="0" w:right="0" w:hanging="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903" w:name="Tc_I9WqX-4mJ0aLfWpzqZyw-g_7_7"/>
      <w:bookmarkStart w:id="904" w:name="Tc_3b_ksEDEF0-EQNsUr2VhmA_7_4"/>
      <w:bookmarkStart w:id="905" w:name="Tc_tDlBDwMCiUWKLcDhSAcJwA_7_0"/>
      <w:bookmarkStart w:id="906" w:name="Tc_l3VY4PrEGkSRdShOjfvwlQ_6_0"/>
      <w:bookmarkStart w:id="907" w:name="Tc_C7igzRP3rkaO4frNrOGGiQ_5_0"/>
      <w:bookmarkStart w:id="908" w:name="Tc_sNul9cjFvEqnJGLCcu3XgQ_4_5"/>
      <w:bookmarkStart w:id="909" w:name="Tc_V3FWmhTY40OsKrQzsQmLBg_4_2"/>
      <w:bookmarkStart w:id="910" w:name="Tc_JAI8hxLeWkeCUBhS32Luwg_4_0"/>
      <w:bookmarkStart w:id="911" w:name="Tc_QcCHw96ck06cL5onQIXdDw_3_7"/>
      <w:bookmarkStart w:id="912" w:name="Tc_XJyJ_I21_EOknp8B5KmHhQ_3_4"/>
      <w:bookmarkStart w:id="913" w:name="Tc_Nztomu40KkmW4aYb5apZ1g_3_0"/>
      <w:bookmarkStart w:id="914" w:name="Tc_Uy2UIL7TNEKNl6TBE-_-YA_2_7"/>
      <w:bookmarkStart w:id="915" w:name="Tc_IMK0be74vkeH44tcoetaew_2_4"/>
      <w:bookmarkStart w:id="916" w:name="Tc_UYPyonlmy0OirXk90Z66cw_2_2"/>
      <w:bookmarkStart w:id="917" w:name="Tc_v2N73fwk8EyEijRWZzMwbg_1_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r>
        <w:rPr>
          <w:rFonts w:ascii="Times New Roman;Times;serif" w:hAnsi="Times New Roman;Times;serif"/>
          <w:b/>
          <w:sz w:val="20"/>
        </w:rPr>
        <w:t>NOTE 7 — PROPERTY, PLANT, AND EQUIPMENT, NET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Property, plant, and equipment, net consisted of the following:</w:t>
      </w:r>
    </w:p>
    <w:p>
      <w:pPr>
        <w:pStyle w:val="TextBody"/>
        <w:bidi w:val="0"/>
        <w:spacing w:before="0" w:after="240"/>
        <w:ind w:left="0" w:right="0" w:hanging="0"/>
        <w:jc w:val="both"/>
        <w:rPr/>
      </w:pPr>
      <w:r>
        <w:rPr/>
        <w:t>​</w:t>
      </w:r>
    </w:p>
    <w:tbl>
      <w:tblPr>
        <w:tblW w:w="8377" w:type="dxa"/>
        <w:jc w:val="left"/>
        <w:tblInd w:w="0" w:type="dxa"/>
        <w:tblLayout w:type="fixed"/>
        <w:tblCellMar>
          <w:top w:w="0" w:type="dxa"/>
          <w:left w:w="0" w:type="dxa"/>
          <w:bottom w:w="0" w:type="dxa"/>
          <w:right w:w="0" w:type="dxa"/>
        </w:tblCellMar>
      </w:tblPr>
      <w:tblGrid>
        <w:gridCol w:w="2971"/>
        <w:gridCol w:w="346"/>
        <w:gridCol w:w="1696"/>
        <w:gridCol w:w="346"/>
        <w:gridCol w:w="252"/>
        <w:gridCol w:w="874"/>
        <w:gridCol w:w="346"/>
        <w:gridCol w:w="297"/>
        <w:gridCol w:w="1249"/>
      </w:tblGrid>
      <w:tr>
        <w:trPr/>
        <w:tc>
          <w:tcPr>
            <w:tcW w:w="2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886585" cy="175260"/>
                      <wp:effectExtent l="0" t="0" r="0" b="0"/>
                      <wp:wrapNone/>
                      <wp:docPr id="146" name="Frame146"/>
                      <a:graphic xmlns:a="http://schemas.openxmlformats.org/drawingml/2006/main">
                        <a:graphicData uri="http://schemas.microsoft.com/office/word/2010/wordprocessingShape">
                          <wps:wsp>
                            <wps:cNvSpPr txBox="1"/>
                            <wps:spPr>
                              <a:xfrm>
                                <a:off x="0" y="0"/>
                                <a:ext cx="1886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19710" cy="175260"/>
                      <wp:effectExtent l="0" t="0" r="0" b="0"/>
                      <wp:wrapNone/>
                      <wp:docPr id="147" name="Frame1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076960" cy="175260"/>
                      <wp:effectExtent l="0" t="0" r="0" b="0"/>
                      <wp:wrapNone/>
                      <wp:docPr id="148" name="Frame148"/>
                      <a:graphic xmlns:a="http://schemas.openxmlformats.org/drawingml/2006/main">
                        <a:graphicData uri="http://schemas.microsoft.com/office/word/2010/wordprocessingShape">
                          <wps:wsp>
                            <wps:cNvSpPr txBox="1"/>
                            <wps:spPr>
                              <a:xfrm>
                                <a:off x="0" y="0"/>
                                <a:ext cx="1076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19710" cy="175260"/>
                      <wp:effectExtent l="0" t="0" r="0" b="0"/>
                      <wp:wrapNone/>
                      <wp:docPr id="149" name="Frame1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60020" cy="175260"/>
                      <wp:effectExtent l="0" t="0" r="0" b="0"/>
                      <wp:wrapNone/>
                      <wp:docPr id="150" name="Frame150"/>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554990" cy="175260"/>
                      <wp:effectExtent l="0" t="0" r="0" b="0"/>
                      <wp:wrapNone/>
                      <wp:docPr id="151" name="Frame151"/>
                      <a:graphic xmlns:a="http://schemas.openxmlformats.org/drawingml/2006/main">
                        <a:graphicData uri="http://schemas.microsoft.com/office/word/2010/wordprocessingShape">
                          <wps:wsp>
                            <wps:cNvSpPr txBox="1"/>
                            <wps:spPr>
                              <a:xfrm>
                                <a:off x="0" y="0"/>
                                <a:ext cx="554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19710" cy="175260"/>
                      <wp:effectExtent l="0" t="0" r="0" b="0"/>
                      <wp:wrapNone/>
                      <wp:docPr id="152" name="Frame1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88595" cy="175260"/>
                      <wp:effectExtent l="0" t="0" r="0" b="0"/>
                      <wp:wrapNone/>
                      <wp:docPr id="153" name="Frame153"/>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793115" cy="175260"/>
                      <wp:effectExtent l="0" t="0" r="0" b="0"/>
                      <wp:wrapNone/>
                      <wp:docPr id="154" name="Frame154"/>
                      <a:graphic xmlns:a="http://schemas.openxmlformats.org/drawingml/2006/main">
                        <a:graphicData uri="http://schemas.microsoft.com/office/word/2010/wordprocessingShape">
                          <wps:wsp>
                            <wps:cNvSpPr txBox="1"/>
                            <wps:spPr>
                              <a:xfrm>
                                <a:off x="0" y="0"/>
                                <a:ext cx="793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6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Estimated Useful Life </w:t>
            </w:r>
          </w:p>
        </w:tc>
        <w:tc>
          <w:tcPr>
            <w:tcW w:w="346" w:type="dxa"/>
            <w:tcBorders/>
            <w:vAlign w:val="center"/>
          </w:tcPr>
          <w:p>
            <w:pPr>
              <w:pStyle w:val="TableContents"/>
              <w:bidi w:val="0"/>
              <w:spacing w:before="0" w:after="1"/>
              <w:ind w:left="0" w:right="0" w:hanging="0"/>
              <w:jc w:val="center"/>
              <w:rPr/>
            </w:pPr>
            <w:r>
              <w:rPr/>
              <w:t>  ​ ​ ​</w:t>
            </w:r>
          </w:p>
        </w:tc>
        <w:tc>
          <w:tcPr>
            <w:tcW w:w="252" w:type="dxa"/>
            <w:tcBorders/>
            <w:vAlign w:val="center"/>
          </w:tcPr>
          <w:p>
            <w:pPr>
              <w:pStyle w:val="TableContents"/>
              <w:bidi w:val="0"/>
              <w:spacing w:before="0" w:after="1"/>
              <w:ind w:left="0" w:right="0" w:hanging="0"/>
              <w:jc w:val="center"/>
              <w:rPr/>
            </w:pPr>
            <w:r>
              <w:rPr/>
              <w:t>​</w:t>
            </w:r>
          </w:p>
        </w:tc>
        <w:tc>
          <w:tcPr>
            <w:tcW w:w="87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546" w:type="dxa"/>
            <w:gridSpan w:val="2"/>
            <w:tcBorders/>
            <w:vAlign w:val="center"/>
          </w:tcPr>
          <w:p>
            <w:pPr>
              <w:pStyle w:val="TableContents"/>
              <w:bidi w:val="0"/>
              <w:spacing w:before="0" w:after="1"/>
              <w:ind w:left="0" w:right="0" w:hanging="0"/>
              <w:jc w:val="center"/>
              <w:rPr/>
            </w:pPr>
            <w:r>
              <w:rPr/>
              <w:t>​</w:t>
            </w:r>
          </w:p>
        </w:tc>
      </w:tr>
      <w:tr>
        <w:trPr/>
        <w:tc>
          <w:tcPr>
            <w:tcW w:w="29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6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Years</w:t>
            </w:r>
          </w:p>
        </w:tc>
        <w:tc>
          <w:tcPr>
            <w:tcW w:w="346" w:type="dxa"/>
            <w:tcBorders/>
            <w:vAlign w:val="center"/>
          </w:tcPr>
          <w:p>
            <w:pPr>
              <w:pStyle w:val="TableContents"/>
              <w:bidi w:val="0"/>
              <w:spacing w:before="0" w:after="1"/>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1"/>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Motor Vehicles</w:t>
            </w:r>
          </w:p>
        </w:tc>
        <w:tc>
          <w:tcPr>
            <w:tcW w:w="346" w:type="dxa"/>
            <w:tcBorders/>
            <w:shd w:fill="CCEEFF" w:val="clear"/>
            <w:vAlign w:val="center"/>
          </w:tcPr>
          <w:p>
            <w:pPr>
              <w:pStyle w:val="TableContents"/>
              <w:bidi w:val="0"/>
              <w:spacing w:before="0" w:after="1"/>
              <w:ind w:left="0" w:right="0" w:hanging="0"/>
              <w:jc w:val="left"/>
              <w:rPr/>
            </w:pPr>
            <w:r>
              <w:rPr/>
              <w:t>​</w:t>
            </w:r>
          </w:p>
        </w:tc>
        <w:tc>
          <w:tcPr>
            <w:tcW w:w="169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365,000</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365,000</w:t>
            </w:r>
          </w:p>
        </w:tc>
      </w:tr>
      <w:tr>
        <w:trPr/>
        <w:tc>
          <w:tcPr>
            <w:tcW w:w="29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46" w:type="dxa"/>
            <w:tcBorders/>
            <w:vAlign w:val="center"/>
          </w:tcPr>
          <w:p>
            <w:pPr>
              <w:pStyle w:val="TableContents"/>
              <w:bidi w:val="0"/>
              <w:spacing w:before="0" w:after="1"/>
              <w:ind w:left="0" w:right="0" w:hanging="0"/>
              <w:jc w:val="center"/>
              <w:rPr/>
            </w:pPr>
            <w:r>
              <w:rPr/>
              <w:t>​</w:t>
            </w:r>
          </w:p>
        </w:tc>
        <w:tc>
          <w:tcPr>
            <w:tcW w:w="169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3-6</w:t>
            </w:r>
          </w:p>
        </w:tc>
        <w:tc>
          <w:tcPr>
            <w:tcW w:w="346" w:type="dxa"/>
            <w:tcBorders/>
            <w:vAlign w:val="center"/>
          </w:tcPr>
          <w:p>
            <w:pPr>
              <w:pStyle w:val="TableContents"/>
              <w:bidi w:val="0"/>
              <w:spacing w:before="0" w:after="1"/>
              <w:ind w:left="0" w:right="0" w:hanging="0"/>
              <w:jc w:val="center"/>
              <w:rPr/>
            </w:pPr>
            <w:r>
              <w:rPr/>
              <w:t>​</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87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2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60,795</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Subtotal</w:t>
            </w:r>
          </w:p>
        </w:tc>
        <w:tc>
          <w:tcPr>
            <w:tcW w:w="346" w:type="dxa"/>
            <w:tcBorders/>
            <w:shd w:fill="CCEEFF" w:val="clear"/>
            <w:vAlign w:val="center"/>
          </w:tcPr>
          <w:p>
            <w:pPr>
              <w:pStyle w:val="TableContents"/>
              <w:bidi w:val="0"/>
              <w:spacing w:before="0" w:after="1"/>
              <w:ind w:left="0" w:right="0" w:hanging="0"/>
              <w:jc w:val="center"/>
              <w:rPr/>
            </w:pPr>
            <w:r>
              <w:rPr/>
              <w:t>​</w:t>
            </w:r>
          </w:p>
        </w:tc>
        <w:tc>
          <w:tcPr>
            <w:tcW w:w="1696" w:type="dxa"/>
            <w:tcBorders/>
            <w:shd w:fill="CCEEFF" w:val="clear"/>
            <w:vAlign w:val="center"/>
          </w:tcPr>
          <w:p>
            <w:pPr>
              <w:pStyle w:val="TableContents"/>
              <w:bidi w:val="0"/>
              <w:spacing w:before="0" w:after="1"/>
              <w:ind w:left="0" w:right="0" w:hanging="0"/>
              <w:jc w:val="center"/>
              <w:rPr/>
            </w:pPr>
            <w:r>
              <w:rPr/>
              <w:t>  ​</w:t>
            </w:r>
          </w:p>
        </w:tc>
        <w:tc>
          <w:tcPr>
            <w:tcW w:w="346" w:type="dxa"/>
            <w:tcBorders/>
            <w:shd w:fill="CCEEFF" w:val="clear"/>
            <w:vAlign w:val="center"/>
          </w:tcPr>
          <w:p>
            <w:pPr>
              <w:pStyle w:val="TableContents"/>
              <w:bidi w:val="0"/>
              <w:spacing w:before="0" w:after="1"/>
              <w:ind w:left="0" w:right="0" w:hanging="0"/>
              <w:jc w:val="center"/>
              <w:rPr/>
            </w:pPr>
            <w:r>
              <w:rPr/>
              <w:t>​</w:t>
            </w:r>
          </w:p>
        </w:tc>
        <w:tc>
          <w:tcPr>
            <w:tcW w:w="252" w:type="dxa"/>
            <w:tcBorders/>
            <w:shd w:fill="CCEEFF" w:val="clear"/>
            <w:vAlign w:val="center"/>
          </w:tcPr>
          <w:p>
            <w:pPr>
              <w:pStyle w:val="TableContents"/>
              <w:bidi w:val="0"/>
              <w:spacing w:before="0" w:after="1"/>
              <w:ind w:left="0" w:right="0" w:hanging="0"/>
              <w:jc w:val="center"/>
              <w:rPr/>
            </w:pPr>
            <w:r>
              <w:rPr/>
              <w:t>  ​</w:t>
            </w:r>
          </w:p>
        </w:tc>
        <w:tc>
          <w:tcPr>
            <w:tcW w:w="8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365,000</w:t>
            </w:r>
          </w:p>
        </w:tc>
        <w:tc>
          <w:tcPr>
            <w:tcW w:w="346" w:type="dxa"/>
            <w:tcBorders/>
            <w:shd w:fill="CCEEFF" w:val="clear"/>
            <w:vAlign w:val="center"/>
          </w:tcPr>
          <w:p>
            <w:pPr>
              <w:pStyle w:val="TableContents"/>
              <w:bidi w:val="0"/>
              <w:spacing w:before="0" w:after="1"/>
              <w:ind w:left="0" w:right="0" w:hanging="0"/>
              <w:jc w:val="center"/>
              <w:rPr/>
            </w:pPr>
            <w:r>
              <w:rPr/>
              <w:t>​</w:t>
            </w:r>
          </w:p>
        </w:tc>
        <w:tc>
          <w:tcPr>
            <w:tcW w:w="297" w:type="dxa"/>
            <w:tcBorders/>
            <w:shd w:fill="CCEEFF" w:val="clear"/>
            <w:vAlign w:val="center"/>
          </w:tcPr>
          <w:p>
            <w:pPr>
              <w:pStyle w:val="TableContents"/>
              <w:bidi w:val="0"/>
              <w:spacing w:before="0" w:after="1"/>
              <w:ind w:left="0" w:right="0" w:hanging="0"/>
              <w:jc w:val="center"/>
              <w:rPr/>
            </w:pPr>
            <w:r>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425,795</w:t>
            </w:r>
          </w:p>
        </w:tc>
      </w:tr>
      <w:tr>
        <w:trPr/>
        <w:tc>
          <w:tcPr>
            <w:tcW w:w="29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46" w:type="dxa"/>
            <w:tcBorders/>
            <w:vAlign w:val="center"/>
          </w:tcPr>
          <w:p>
            <w:pPr>
              <w:pStyle w:val="TableContents"/>
              <w:bidi w:val="0"/>
              <w:spacing w:before="0" w:after="1"/>
              <w:ind w:left="0" w:right="0" w:hanging="0"/>
              <w:jc w:val="left"/>
              <w:rPr/>
            </w:pPr>
            <w:r>
              <w:rPr/>
              <w:t> </w:t>
            </w:r>
          </w:p>
        </w:tc>
        <w:tc>
          <w:tcPr>
            <w:tcW w:w="169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87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(55,208)</w:t>
            </w:r>
          </w:p>
        </w:tc>
        <w:tc>
          <w:tcPr>
            <w:tcW w:w="346" w:type="dxa"/>
            <w:tcBorders/>
            <w:vAlign w:val="center"/>
          </w:tcPr>
          <w:p>
            <w:pPr>
              <w:pStyle w:val="TableContents"/>
              <w:bidi w:val="0"/>
              <w:spacing w:before="0" w:after="1"/>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(66,927)</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plant, and equipment, net</w:t>
            </w:r>
          </w:p>
        </w:tc>
        <w:tc>
          <w:tcPr>
            <w:tcW w:w="346" w:type="dxa"/>
            <w:tcBorders/>
            <w:shd w:fill="CCEEFF" w:val="clear"/>
            <w:vAlign w:val="center"/>
          </w:tcPr>
          <w:p>
            <w:pPr>
              <w:pStyle w:val="TableContents"/>
              <w:bidi w:val="0"/>
              <w:spacing w:before="0" w:after="1"/>
              <w:ind w:left="0" w:right="0" w:hanging="0"/>
              <w:jc w:val="left"/>
              <w:rPr/>
            </w:pPr>
            <w:r>
              <w:rPr/>
              <w:t> </w:t>
            </w:r>
          </w:p>
        </w:tc>
        <w:tc>
          <w:tcPr>
            <w:tcW w:w="169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309,792</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358,868</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six months ended June 30, 2026 and 2025, the Company recorded deprecation of $16,507 and $19,764,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was no impairment loss during the six months ended June 30, 2026 and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*Leasehold improvements were related to Edward’s full steel manual gates, yard fence, and office roof upgrade.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8 — LEASES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leases office spaces from various third parties under non-cancelable operating leases, with terms ranging from 12 to 55 months. The Company considers the renewal or termination options that are reasonably certain to be exercised in the determination of the lease term and initial measurement of ROU assets and lease liabilities. Lease expenses are recognized on a straight-line basis over the lease term. Leases with an initial term of 12 months or less are not recorded on the balance sheet.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determines whether a contract is or contains a lease at the inception of the contract and whether that lease meets the classification criteria of a finance or operating lease. When available, the Company uses the rate implicit in the lease to discount lease payments to present value; however, most of the Company’s leases do not provide a readily determinable implicit rate. Therefore, the Company discounts lease payments based on an estimate of its incremental borrowing rate.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lease agreements do not contain any material residual value guarantees or material restrictive covenants.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July 19, 2024, the Company entered into a non-cancellable operating lease with an independent third party, Zina Development, LLC, for office space in Irvine, California, comprising approximately 15,000 square feet. The lease term commenced on July 23, 2024, and expires on July 31, 2027. The lease is guaranteed by West Buy Media Inc., a North Carolina Corporation 100% owned by the Company’s chief executive officer, Huan Liu, ensuring the Company’s full payment and performance of all obligations under the lease. Monthly base rent payments under this lease range from $42,000 to $45,000, with scheduled increases over the lease term. The office space is designated for general business operations. In accordance with ASC 842, the Company has recognized a right-of-use asset and a lease liability on its balance sheet related to this operating lease.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April 28, 2023, the Company entered a First Amendment to Lease Agreement (the “Amended Lease”) with one of its landlords, which amended a previous lease agreement between the two parties, whereby the Company leases office space from the landlord with an initial lease term from December 1, 2020 to December 31, 2023. Pursuant to the Amended Lease, the initial lease term was extended for a period commencing January 1, 2024 and expiring February 28, 2027, unless sooner terminated as provided in the Amended Lease. In January, 2025, the Company sent two letters to the lessor requesting to terminate the Amended Lease, as the Company had vacated the property. Subsequent to the foregoing, the Company reviewed the landlord’s internal tenant management system and confirmed that the Company had been removed as an active tenant from the landlord’s system in December 2025, and all the outstanding invoices from February to December 2025 had also been reversed. As a result, the Company’s prior vacating of the premises, and its repeated requests to terminate the Amended Lease, the Company believes that the Amended Lease has been effectively terminated. During the year ended December 31, 2025, the Company recorded a gain of $7,853 for the termination of lease.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subsidiary, Edward, entered into a Second Amendment to Lease Agreement with its landlord on May 22, 2023, which amended a previous lease agreement and the first amendment between the parties, whereby Edward leases a warehouse from the landlord with an initial lease term from June 1, 2013 to July 31, 2018. The lease term was extended to July 31, 2023 by the first amendment. The second amendment further extended the lease to August 31, 2028.</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918" w:name="Tc_1p2aNEAjA0uRcOUXuXrXcw_6_2"/>
      <w:bookmarkStart w:id="919" w:name="Tc_q_UTOua_EUuYGcpRsPwMZA_6_0"/>
      <w:bookmarkStart w:id="920" w:name="Tc_p02RWtAz6EKx6E4H8kBPtw_5_0"/>
      <w:bookmarkStart w:id="921" w:name="Tc_6xIaMC_dtE2TIJp643lQqQ_4_0"/>
      <w:bookmarkStart w:id="922" w:name="Tc_15Fn_tmAI06quCObV0zxqQ_3_0"/>
      <w:bookmarkStart w:id="923" w:name="Tc_4C5TMGJFokGZJ4Yme9K5VA_2_2"/>
      <w:bookmarkStart w:id="924" w:name="Tc_KBMW_htVsU6M_nfZ30crVw_2_0"/>
      <w:bookmarkStart w:id="925" w:name="Tc_N35gEn_qQEqQB_1JFPxBtw_1_2"/>
      <w:bookmarkStart w:id="926" w:name="Tc_l6IUeRx3hEyfV_76ytOsOg_1_0"/>
      <w:bookmarkStart w:id="927" w:name="Tc_XGGN_OT1BEqORmXr0iP_yA_4_5"/>
      <w:bookmarkStart w:id="928" w:name="Tc_Bg-CPW3GnkGBKhUNKoWkhg_4_3"/>
      <w:bookmarkStart w:id="929" w:name="Tc_Perng4ljrkmsR-i4ngAlTA_4_0"/>
      <w:bookmarkStart w:id="930" w:name="Tc_i8MoNn7q0kKY1s8Ybdk5Ug_3_0"/>
      <w:bookmarkStart w:id="931" w:name="Tc_nzC9L8xJLUyO5NC4jVEyzg_2_0"/>
      <w:bookmarkStart w:id="932" w:name="Tc_EfcHGY1VKEqE99ewXoEyKA_1_4"/>
      <w:bookmarkStart w:id="933" w:name="Tc_Ek6yw91ITUytexFuG2t1lw_1_2"/>
      <w:bookmarkStart w:id="934" w:name="_ac3ed87c_a8b5_45f3_aaa6_3ef7119bc499"/>
      <w:bookmarkStart w:id="935" w:name="Tc_tCLkAlz1dECoPohEgDttWw_6_5"/>
      <w:bookmarkStart w:id="936" w:name="Tc_YumKsrN190KUZqzgLNxNMw_6_2"/>
      <w:bookmarkStart w:id="937" w:name="Tc_Gv6yqqkSYU6SHXdlMNMAOg_6_0"/>
      <w:bookmarkStart w:id="938" w:name="Tc_3u-A6f5CSEa3md6WxzL-EQ_5_0"/>
      <w:bookmarkStart w:id="939" w:name="Tc_d9FrPnV9vE20KXMWpEPj-w_4_5"/>
      <w:bookmarkStart w:id="940" w:name="Tc_ISOyWiv-SE68qeDleor9HA_4_2"/>
      <w:bookmarkStart w:id="941" w:name="Tc_PMVrFFHJ2kuOFysmbWCqrQ_4_0"/>
      <w:bookmarkStart w:id="942" w:name="Tc_AUn8LxV2i0-K9R60US2pxA_2_5"/>
      <w:bookmarkStart w:id="943" w:name="Tc_ReKgNG-NEUWvVRAYXVaHbA_2_2"/>
      <w:bookmarkStart w:id="944" w:name="Tc_qYucUjkdAUWFlwuO4xm_HA_2_0"/>
      <w:bookmarkStart w:id="945" w:name="Tc_Nf-_vUHBhEW70IgVP7W6gw_1_5"/>
      <w:bookmarkStart w:id="946" w:name="Tc_fJEaLNoe60ibaukNGa3Ztg_1_2"/>
      <w:bookmarkStart w:id="947" w:name="Tc_jc8lilOMTkunhfT-M9LVCQ_7_11"/>
      <w:bookmarkStart w:id="948" w:name="Tc_Gvd-Oqa4w0mD1T0bX_PLNg_7_8"/>
      <w:bookmarkStart w:id="949" w:name="Tc_m6QFZGKkcUqnsyjTxWGeyA_7_5"/>
      <w:bookmarkStart w:id="950" w:name="Tc_lYunBAaOjE2GaxmWbKlFcw_7_2"/>
      <w:bookmarkStart w:id="951" w:name="Tc_RTa7Nc7G20mGfeMKmFIG6Q_7_0"/>
      <w:bookmarkStart w:id="952" w:name="Tc_Om5f92Hr7kyXtM-HLXTomw_6_0"/>
      <w:bookmarkStart w:id="953" w:name="Tc_0B60faUGo0OPrt5AGw2Rjw_5_11"/>
      <w:bookmarkStart w:id="954" w:name="Tc_j4OxKea0Ck-pLvOKg5JoLg_5_8"/>
      <w:bookmarkStart w:id="955" w:name="Tc_9rbddfSzGk6d8s7j4GzYPg_5_5"/>
      <w:bookmarkStart w:id="956" w:name="Tc_9wsqaCp_LUuHlMzuDi9nUg_5_2"/>
      <w:bookmarkStart w:id="957" w:name="Tc_llslFvB_PEmGkUfAde8ifg_5_0"/>
      <w:bookmarkStart w:id="958" w:name="Tc_G3rhxBE3B0WScKkFDS_kow_4_0"/>
      <w:bookmarkStart w:id="959" w:name="Tc_K-eMHqsTe0m3kUHOPoqIKg_3_11"/>
      <w:bookmarkStart w:id="960" w:name="Tc_UwHGjISaZUigQp7DV1O9lg_3_8"/>
      <w:bookmarkStart w:id="961" w:name="Tc_drnT5mc2ZUyz7BUZ9QIzEQ_3_5"/>
      <w:bookmarkStart w:id="962" w:name="Tc_IObfAHHdY02tXsj0G0J3Yg_3_2"/>
      <w:bookmarkStart w:id="963" w:name="Tc_22kXbbjstUu1QsZCwK-2sQ_2_8"/>
      <w:bookmarkStart w:id="964" w:name="Tc_nXFRbLZ3GUSW1qgKyagvzw_2_2"/>
      <w:bookmarkStart w:id="965" w:name="Tc_YomK36drm0m1dznk9JEk4Q_1_8"/>
      <w:bookmarkStart w:id="966" w:name="Tc_tdKuqG8fGk6AH47ZEVeVUA_1_2"/>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r>
        <w:rPr>
          <w:rFonts w:ascii="Times New Roman;Times;serif" w:hAnsi="Times New Roman;Times;serif"/>
          <w:sz w:val="20"/>
        </w:rPr>
        <w:t>The Company entered into a lease arrangement beginning January 1, 2024. The lease initially ran month-to-month through August 31, 2024 and continued on a month-to-month basis thereafter. Both operating lease expenses and short-term lease expenses are recognized in general and administrative expenses. The components of lease expenses for the six months ended June 30, 2026 and 2025 were as follows:</w:t>
      </w:r>
    </w:p>
    <w:p>
      <w:pPr>
        <w:pStyle w:val="TextBody"/>
        <w:bidi w:val="0"/>
        <w:spacing w:before="0" w:after="240"/>
        <w:ind w:left="0" w:right="0" w:hanging="0"/>
        <w:jc w:val="both"/>
        <w:rPr/>
      </w:pPr>
      <w:r>
        <w:rPr/>
        <w:t>​</w:t>
      </w:r>
    </w:p>
    <w:tbl>
      <w:tblPr>
        <w:tblW w:w="7663" w:type="dxa"/>
        <w:jc w:val="left"/>
        <w:tblInd w:w="0" w:type="dxa"/>
        <w:tblLayout w:type="fixed"/>
        <w:tblCellMar>
          <w:top w:w="0" w:type="dxa"/>
          <w:left w:w="0" w:type="dxa"/>
          <w:bottom w:w="0" w:type="dxa"/>
          <w:right w:w="0" w:type="dxa"/>
        </w:tblCellMar>
      </w:tblPr>
      <w:tblGrid>
        <w:gridCol w:w="2206"/>
        <w:gridCol w:w="346"/>
        <w:gridCol w:w="211"/>
        <w:gridCol w:w="781"/>
        <w:gridCol w:w="346"/>
        <w:gridCol w:w="211"/>
        <w:gridCol w:w="781"/>
        <w:gridCol w:w="346"/>
        <w:gridCol w:w="211"/>
        <w:gridCol w:w="781"/>
        <w:gridCol w:w="346"/>
        <w:gridCol w:w="211"/>
        <w:gridCol w:w="886"/>
      </w:tblGrid>
      <w:tr>
        <w:trPr/>
        <w:tc>
          <w:tcPr>
            <w:tcW w:w="2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400810" cy="175260"/>
                      <wp:effectExtent l="0" t="0" r="0" b="0"/>
                      <wp:wrapNone/>
                      <wp:docPr id="155" name="Frame155"/>
                      <a:graphic xmlns:a="http://schemas.openxmlformats.org/drawingml/2006/main">
                        <a:graphicData uri="http://schemas.microsoft.com/office/word/2010/wordprocessingShape">
                          <wps:wsp>
                            <wps:cNvSpPr txBox="1"/>
                            <wps:spPr>
                              <a:xfrm>
                                <a:off x="0" y="0"/>
                                <a:ext cx="140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19710" cy="175260"/>
                      <wp:effectExtent l="0" t="0" r="0" b="0"/>
                      <wp:wrapNone/>
                      <wp:docPr id="156" name="Frame1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33985" cy="175260"/>
                      <wp:effectExtent l="0" t="0" r="0" b="0"/>
                      <wp:wrapNone/>
                      <wp:docPr id="157" name="Frame1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495935" cy="175260"/>
                      <wp:effectExtent l="0" t="0" r="0" b="0"/>
                      <wp:wrapNone/>
                      <wp:docPr id="158" name="Frame15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19710" cy="175260"/>
                      <wp:effectExtent l="0" t="0" r="0" b="0"/>
                      <wp:wrapNone/>
                      <wp:docPr id="159" name="Frame1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33985" cy="175260"/>
                      <wp:effectExtent l="0" t="0" r="0" b="0"/>
                      <wp:wrapNone/>
                      <wp:docPr id="160" name="Frame1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495935" cy="175260"/>
                      <wp:effectExtent l="0" t="0" r="0" b="0"/>
                      <wp:wrapNone/>
                      <wp:docPr id="161" name="Frame16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19710" cy="175260"/>
                      <wp:effectExtent l="0" t="0" r="0" b="0"/>
                      <wp:wrapNone/>
                      <wp:docPr id="162" name="Frame1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33985" cy="175260"/>
                      <wp:effectExtent l="0" t="0" r="0" b="0"/>
                      <wp:wrapNone/>
                      <wp:docPr id="163" name="Frame1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495935" cy="175260"/>
                      <wp:effectExtent l="0" t="0" r="0" b="0"/>
                      <wp:wrapNone/>
                      <wp:docPr id="164" name="Frame16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19710" cy="175260"/>
                      <wp:effectExtent l="0" t="0" r="0" b="0"/>
                      <wp:wrapNone/>
                      <wp:docPr id="165" name="Frame1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33985" cy="175260"/>
                      <wp:effectExtent l="0" t="0" r="0" b="0"/>
                      <wp:wrapNone/>
                      <wp:docPr id="166" name="Frame1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562610" cy="175260"/>
                      <wp:effectExtent l="0" t="0" r="0" b="0"/>
                      <wp:wrapNone/>
                      <wp:docPr id="167" name="Frame16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46" w:type="dxa"/>
            <w:tcBorders/>
            <w:vAlign w:val="center"/>
          </w:tcPr>
          <w:p>
            <w:pPr>
              <w:pStyle w:val="TableContents"/>
              <w:bidi w:val="0"/>
              <w:spacing w:before="0" w:after="0"/>
              <w:ind w:left="0" w:right="0" w:hanging="0"/>
              <w:jc w:val="center"/>
              <w:rPr/>
            </w:pPr>
            <w:r>
              <w:rPr/>
              <w:t>​</w:t>
            </w:r>
          </w:p>
        </w:tc>
        <w:tc>
          <w:tcPr>
            <w:tcW w:w="243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22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24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2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2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22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114,624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177,763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272,849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355,526</w:t>
            </w:r>
          </w:p>
        </w:tc>
      </w:tr>
      <w:tr>
        <w:trPr/>
        <w:tc>
          <w:tcPr>
            <w:tcW w:w="22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lease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60,732</w:t>
            </w:r>
          </w:p>
        </w:tc>
      </w:tr>
      <w:tr>
        <w:trPr/>
        <w:tc>
          <w:tcPr>
            <w:tcW w:w="220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lease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132,123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208,129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311,972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416,258</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the three and six months ended June 30, 2026, the Company incurred total operating lease expenses of $114,624 and $272,849, respectively. The total lease expenses were $132,123 and $311,972 for the three and six months ended June 30, 2026, respectively.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the three and six months ended June 30, 2025, the Company incurred total operating lease expenses of $177,763 and $355,526, respectively. The total lease expenses were $208,129 and $416,258 for the three and six months ended June 30, 2025, respectively.</w:t>
      </w:r>
    </w:p>
    <w:p>
      <w:pPr>
        <w:pStyle w:val="TextBody"/>
        <w:bidi w:val="0"/>
        <w:spacing w:before="0" w:after="0"/>
        <w:ind w:left="0" w:right="0" w:hanging="0"/>
        <w:jc w:val="left"/>
        <w:rPr/>
      </w:pPr>
      <w:r>
        <w:rPr/>
        <w:t>​</w:t>
      </w:r>
    </w:p>
    <w:tbl>
      <w:tblPr>
        <w:tblW w:w="6709" w:type="dxa"/>
        <w:jc w:val="left"/>
        <w:tblInd w:w="0" w:type="dxa"/>
        <w:tblLayout w:type="fixed"/>
        <w:tblCellMar>
          <w:top w:w="0" w:type="dxa"/>
          <w:left w:w="0" w:type="dxa"/>
          <w:bottom w:w="0" w:type="dxa"/>
          <w:right w:w="0" w:type="dxa"/>
        </w:tblCellMar>
      </w:tblPr>
      <w:tblGrid>
        <w:gridCol w:w="3346"/>
        <w:gridCol w:w="346"/>
        <w:gridCol w:w="239"/>
        <w:gridCol w:w="887"/>
        <w:gridCol w:w="346"/>
        <w:gridCol w:w="261"/>
        <w:gridCol w:w="1284"/>
      </w:tblGrid>
      <w:tr>
        <w:trPr/>
        <w:tc>
          <w:tcPr>
            <w:tcW w:w="3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124710" cy="175260"/>
                      <wp:effectExtent l="0" t="0" r="0" b="0"/>
                      <wp:wrapNone/>
                      <wp:docPr id="168" name="Frame168"/>
                      <a:graphic xmlns:a="http://schemas.openxmlformats.org/drawingml/2006/main">
                        <a:graphicData uri="http://schemas.microsoft.com/office/word/2010/wordprocessingShape">
                          <wps:wsp>
                            <wps:cNvSpPr txBox="1"/>
                            <wps:spPr>
                              <a:xfrm>
                                <a:off x="0" y="0"/>
                                <a:ext cx="2124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19710" cy="175260"/>
                      <wp:effectExtent l="0" t="0" r="0" b="0"/>
                      <wp:wrapNone/>
                      <wp:docPr id="169" name="Frame1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51765" cy="175260"/>
                      <wp:effectExtent l="0" t="0" r="0" b="0"/>
                      <wp:wrapNone/>
                      <wp:docPr id="170" name="Frame170"/>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563245" cy="175260"/>
                      <wp:effectExtent l="0" t="0" r="0" b="0"/>
                      <wp:wrapNone/>
                      <wp:docPr id="171" name="Frame171"/>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19710" cy="175260"/>
                      <wp:effectExtent l="0" t="0" r="0" b="0"/>
                      <wp:wrapNone/>
                      <wp:docPr id="172" name="Frame1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65735" cy="175260"/>
                      <wp:effectExtent l="0" t="0" r="0" b="0"/>
                      <wp:wrapNone/>
                      <wp:docPr id="173" name="Frame173"/>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815340" cy="175260"/>
                      <wp:effectExtent l="0" t="0" r="0" b="0"/>
                      <wp:wrapNone/>
                      <wp:docPr id="174" name="Frame174"/>
                      <a:graphic xmlns:a="http://schemas.openxmlformats.org/drawingml/2006/main">
                        <a:graphicData uri="http://schemas.microsoft.com/office/word/2010/wordprocessingShape">
                          <wps:wsp>
                            <wps:cNvSpPr txBox="1"/>
                            <wps:spPr>
                              <a:xfrm>
                                <a:off x="0" y="0"/>
                                <a:ext cx="815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center"/>
              <w:rPr/>
            </w:pPr>
            <w:r>
              <w:rPr/>
              <w:t>  ​ ​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3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530,929</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1,165,517</w:t>
            </w:r>
          </w:p>
        </w:tc>
      </w:tr>
      <w:tr>
        <w:trPr/>
        <w:tc>
          <w:tcPr>
            <w:tcW w:w="3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1284" w:type="dxa"/>
            <w:tcBorders/>
            <w:vAlign w:val="center"/>
          </w:tcPr>
          <w:p>
            <w:pPr>
              <w:pStyle w:val="TableContents"/>
              <w:bidi w:val="0"/>
              <w:spacing w:before="0" w:after="0"/>
              <w:ind w:left="0" w:right="0" w:hanging="0"/>
              <w:jc w:val="left"/>
              <w:rPr/>
            </w:pPr>
            <w:r>
              <w:rPr/>
              <w:t>​</w:t>
            </w:r>
          </w:p>
        </w:tc>
      </w:tr>
      <w:tr>
        <w:trPr/>
        <w:tc>
          <w:tcPr>
            <w:tcW w:w="33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 – current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502,249</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594,407</w:t>
            </w:r>
          </w:p>
        </w:tc>
      </w:tr>
      <w:tr>
        <w:trPr/>
        <w:tc>
          <w:tcPr>
            <w:tcW w:w="33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 – non-current</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44,950</w:t>
            </w:r>
          </w:p>
        </w:tc>
        <w:tc>
          <w:tcPr>
            <w:tcW w:w="34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584,606</w:t>
            </w:r>
          </w:p>
        </w:tc>
      </w:tr>
      <w:tr>
        <w:trPr/>
        <w:tc>
          <w:tcPr>
            <w:tcW w:w="33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547,199</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4"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1,179,013</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weighted average remaining lease terms and discount rates for all operating leases were as follows for the six months ended June 30, 2026 and 2025:</w:t>
      </w:r>
    </w:p>
    <w:p>
      <w:pPr>
        <w:pStyle w:val="TextBody"/>
        <w:bidi w:val="0"/>
        <w:spacing w:before="0" w:after="240"/>
        <w:ind w:left="0" w:right="0" w:hanging="0"/>
        <w:jc w:val="both"/>
        <w:rPr/>
      </w:pPr>
      <w:r>
        <w:rPr/>
        <w:t>​</w:t>
      </w:r>
    </w:p>
    <w:tbl>
      <w:tblPr>
        <w:tblW w:w="7176" w:type="dxa"/>
        <w:jc w:val="left"/>
        <w:tblInd w:w="0" w:type="dxa"/>
        <w:tblLayout w:type="fixed"/>
        <w:tblCellMar>
          <w:top w:w="0" w:type="dxa"/>
          <w:left w:w="0" w:type="dxa"/>
          <w:bottom w:w="0" w:type="dxa"/>
          <w:right w:w="0" w:type="dxa"/>
        </w:tblCellMar>
      </w:tblPr>
      <w:tblGrid>
        <w:gridCol w:w="3901"/>
        <w:gridCol w:w="346"/>
        <w:gridCol w:w="1126"/>
        <w:gridCol w:w="361"/>
        <w:gridCol w:w="1126"/>
        <w:gridCol w:w="316"/>
      </w:tblGrid>
      <w:tr>
        <w:trPr/>
        <w:tc>
          <w:tcPr>
            <w:tcW w:w="3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477135" cy="175260"/>
                      <wp:effectExtent l="0" t="0" r="0" b="0"/>
                      <wp:wrapNone/>
                      <wp:docPr id="175" name="Frame175"/>
                      <a:graphic xmlns:a="http://schemas.openxmlformats.org/drawingml/2006/main">
                        <a:graphicData uri="http://schemas.microsoft.com/office/word/2010/wordprocessingShape">
                          <wps:wsp>
                            <wps:cNvSpPr txBox="1"/>
                            <wps:spPr>
                              <a:xfrm>
                                <a:off x="0" y="0"/>
                                <a:ext cx="2477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19710" cy="175260"/>
                      <wp:effectExtent l="0" t="0" r="0" b="0"/>
                      <wp:wrapNone/>
                      <wp:docPr id="176" name="Frame1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715010" cy="175260"/>
                      <wp:effectExtent l="0" t="0" r="0" b="0"/>
                      <wp:wrapNone/>
                      <wp:docPr id="177" name="Frame177"/>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29235" cy="175260"/>
                      <wp:effectExtent l="0" t="0" r="0" b="0"/>
                      <wp:wrapNone/>
                      <wp:docPr id="178" name="Frame17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715010" cy="175260"/>
                      <wp:effectExtent l="0" t="0" r="0" b="0"/>
                      <wp:wrapNone/>
                      <wp:docPr id="179" name="Frame179"/>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00660" cy="175260"/>
                      <wp:effectExtent l="0" t="0" r="0" b="0"/>
                      <wp:wrapNone/>
                      <wp:docPr id="180" name="Frame18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61" w:type="dxa"/>
            <w:tcBorders/>
            <w:vAlign w:val="center"/>
          </w:tcPr>
          <w:p>
            <w:pPr>
              <w:pStyle w:val="TableContents"/>
              <w:bidi w:val="0"/>
              <w:spacing w:before="0" w:after="1"/>
              <w:ind w:left="0" w:right="0" w:hanging="0"/>
              <w:jc w:val="left"/>
              <w:rPr/>
            </w:pPr>
            <w:r>
              <w:rPr/>
              <w:t>  ​ ​ ​</w:t>
            </w:r>
          </w:p>
        </w:tc>
        <w:tc>
          <w:tcPr>
            <w:tcW w:w="11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16" w:type="dxa"/>
            <w:tcBorders/>
            <w:vAlign w:val="center"/>
          </w:tcPr>
          <w:p>
            <w:pPr>
              <w:pStyle w:val="TableContents"/>
              <w:bidi w:val="0"/>
              <w:spacing w:before="0" w:after="1"/>
              <w:ind w:left="0" w:right="0" w:hanging="0"/>
              <w:jc w:val="center"/>
              <w:rPr/>
            </w:pPr>
            <w:r>
              <w:rPr/>
              <w:t> </w:t>
            </w:r>
          </w:p>
        </w:tc>
      </w:tr>
      <w:tr>
        <w:trPr/>
        <w:tc>
          <w:tcPr>
            <w:tcW w:w="390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Remaining lease term and discount rate:</w:t>
            </w:r>
          </w:p>
        </w:tc>
        <w:tc>
          <w:tcPr>
            <w:tcW w:w="346" w:type="dxa"/>
            <w:tcBorders/>
            <w:shd w:fill="CCEEFF" w:val="clear"/>
            <w:vAlign w:val="center"/>
          </w:tcPr>
          <w:p>
            <w:pPr>
              <w:pStyle w:val="TableContents"/>
              <w:bidi w:val="0"/>
              <w:spacing w:before="0" w:after="1"/>
              <w:ind w:left="0" w:right="0" w:hanging="0"/>
              <w:jc w:val="center"/>
              <w:rPr/>
            </w:pPr>
            <w:r>
              <w:rPr/>
              <w:t>​</w:t>
            </w:r>
          </w:p>
        </w:tc>
        <w:tc>
          <w:tcPr>
            <w:tcW w:w="1126" w:type="dxa"/>
            <w:tcBorders/>
            <w:shd w:fill="CCEEFF" w:val="clear"/>
            <w:vAlign w:val="center"/>
          </w:tcPr>
          <w:p>
            <w:pPr>
              <w:pStyle w:val="TableContents"/>
              <w:bidi w:val="0"/>
              <w:spacing w:before="0" w:after="1"/>
              <w:ind w:left="0" w:right="0" w:hanging="0"/>
              <w:jc w:val="center"/>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1126" w:type="dxa"/>
            <w:tcBorders/>
            <w:shd w:fill="CCEEFF" w:val="clear"/>
            <w:vAlign w:val="center"/>
          </w:tcPr>
          <w:p>
            <w:pPr>
              <w:pStyle w:val="TableContents"/>
              <w:bidi w:val="0"/>
              <w:spacing w:before="0" w:after="1"/>
              <w:ind w:left="0" w:right="0" w:hanging="0"/>
              <w:jc w:val="center"/>
              <w:rPr/>
            </w:pPr>
            <w:r>
              <w:rPr/>
              <w:t>​</w:t>
            </w:r>
          </w:p>
        </w:tc>
        <w:tc>
          <w:tcPr>
            <w:tcW w:w="316" w:type="dxa"/>
            <w:tcBorders/>
            <w:shd w:fill="CCEEFF" w:val="clear"/>
            <w:vAlign w:val="center"/>
          </w:tcPr>
          <w:p>
            <w:pPr>
              <w:pStyle w:val="TableContents"/>
              <w:bidi w:val="0"/>
              <w:spacing w:before="0" w:after="1"/>
              <w:ind w:left="0" w:right="0" w:hanging="0"/>
              <w:jc w:val="center"/>
              <w:rPr/>
            </w:pPr>
            <w:r>
              <w:rPr/>
              <w:t>​</w:t>
            </w:r>
          </w:p>
        </w:tc>
      </w:tr>
      <w:tr>
        <w:trPr/>
        <w:tc>
          <w:tcPr>
            <w:tcW w:w="390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remaining lease term (years)</w:t>
            </w:r>
          </w:p>
        </w:tc>
        <w:tc>
          <w:tcPr>
            <w:tcW w:w="346" w:type="dxa"/>
            <w:tcBorders/>
            <w:vAlign w:val="center"/>
          </w:tcPr>
          <w:p>
            <w:pPr>
              <w:pStyle w:val="TableContents"/>
              <w:bidi w:val="0"/>
              <w:spacing w:before="0" w:after="1"/>
              <w:ind w:left="0" w:right="0" w:hanging="0"/>
              <w:jc w:val="left"/>
              <w:rPr/>
            </w:pPr>
            <w:r>
              <w:rPr/>
              <w:t>​</w:t>
            </w:r>
          </w:p>
        </w:tc>
        <w:tc>
          <w:tcPr>
            <w:tcW w:w="11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w:t>
            </w:r>
          </w:p>
        </w:tc>
        <w:tc>
          <w:tcPr>
            <w:tcW w:w="361" w:type="dxa"/>
            <w:tcBorders/>
            <w:vAlign w:val="center"/>
          </w:tcPr>
          <w:p>
            <w:pPr>
              <w:pStyle w:val="TableContents"/>
              <w:bidi w:val="0"/>
              <w:spacing w:before="0" w:after="1"/>
              <w:ind w:left="0" w:right="0" w:hanging="0"/>
              <w:jc w:val="left"/>
              <w:rPr/>
            </w:pPr>
            <w:r>
              <w:rPr/>
              <w:t>​</w:t>
            </w:r>
          </w:p>
        </w:tc>
        <w:tc>
          <w:tcPr>
            <w:tcW w:w="11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w:t>
            </w:r>
          </w:p>
        </w:tc>
        <w:tc>
          <w:tcPr>
            <w:tcW w:w="316" w:type="dxa"/>
            <w:tcBorders/>
            <w:vAlign w:val="center"/>
          </w:tcPr>
          <w:p>
            <w:pPr>
              <w:pStyle w:val="TableContents"/>
              <w:bidi w:val="0"/>
              <w:spacing w:before="0" w:after="1"/>
              <w:ind w:left="0" w:right="0" w:hanging="0"/>
              <w:jc w:val="left"/>
              <w:rPr/>
            </w:pPr>
            <w:r>
              <w:rPr/>
              <w:t>​</w:t>
            </w:r>
          </w:p>
        </w:tc>
      </w:tr>
      <w:tr>
        <w:trPr/>
        <w:tc>
          <w:tcPr>
            <w:tcW w:w="390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discount rate *</w:t>
            </w:r>
          </w:p>
        </w:tc>
        <w:tc>
          <w:tcPr>
            <w:tcW w:w="346" w:type="dxa"/>
            <w:tcBorders/>
            <w:shd w:fill="CCEEFF" w:val="clear"/>
            <w:vAlign w:val="center"/>
          </w:tcPr>
          <w:p>
            <w:pPr>
              <w:pStyle w:val="TableContents"/>
              <w:bidi w:val="0"/>
              <w:spacing w:before="0" w:after="1"/>
              <w:ind w:left="0" w:right="0" w:hanging="0"/>
              <w:jc w:val="left"/>
              <w:rPr/>
            </w:pPr>
            <w:r>
              <w:rPr/>
              <w:t>​</w:t>
            </w:r>
          </w:p>
        </w:tc>
        <w:tc>
          <w:tcPr>
            <w:tcW w:w="11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1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pBdr/>
        <w:bidi w:val="0"/>
        <w:spacing w:before="0" w:after="18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The Company used weighted average incremental borrowing rate of 4.1% per annum for its lease contracts based on the Company’s current borrowings from various financial institutions.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June 30, 2026, future maturities of lease liabilities were as follows:</w:t>
      </w:r>
    </w:p>
    <w:p>
      <w:pPr>
        <w:pStyle w:val="TextBody"/>
        <w:bidi w:val="0"/>
        <w:spacing w:before="0" w:after="240"/>
        <w:ind w:left="0" w:right="0" w:hanging="0"/>
        <w:jc w:val="both"/>
        <w:rPr/>
      </w:pPr>
      <w:r>
        <w:rPr/>
        <w:t>​</w:t>
      </w:r>
    </w:p>
    <w:tbl>
      <w:tblPr>
        <w:tblW w:w="4129" w:type="dxa"/>
        <w:jc w:val="left"/>
        <w:tblInd w:w="0" w:type="dxa"/>
        <w:tblLayout w:type="fixed"/>
        <w:tblCellMar>
          <w:top w:w="0" w:type="dxa"/>
          <w:left w:w="0" w:type="dxa"/>
          <w:bottom w:w="0" w:type="dxa"/>
          <w:right w:w="0" w:type="dxa"/>
        </w:tblCellMar>
      </w:tblPr>
      <w:tblGrid>
        <w:gridCol w:w="2686"/>
        <w:gridCol w:w="346"/>
        <w:gridCol w:w="211"/>
        <w:gridCol w:w="886"/>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705610" cy="175260"/>
                      <wp:effectExtent l="0" t="0" r="0" b="0"/>
                      <wp:wrapNone/>
                      <wp:docPr id="181" name="Frame181"/>
                      <a:graphic xmlns:a="http://schemas.openxmlformats.org/drawingml/2006/main">
                        <a:graphicData uri="http://schemas.microsoft.com/office/word/2010/wordprocessingShape">
                          <wps:wsp>
                            <wps:cNvSpPr txBox="1"/>
                            <wps:spPr>
                              <a:xfrm>
                                <a:off x="0" y="0"/>
                                <a:ext cx="170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19710" cy="175260"/>
                      <wp:effectExtent l="0" t="0" r="0" b="0"/>
                      <wp:wrapNone/>
                      <wp:docPr id="182" name="Frame1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33985" cy="175260"/>
                      <wp:effectExtent l="0" t="0" r="0" b="0"/>
                      <wp:wrapNone/>
                      <wp:docPr id="183" name="Frame1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562610" cy="175260"/>
                      <wp:effectExtent l="0" t="0" r="0" b="0"/>
                      <wp:wrapNone/>
                      <wp:docPr id="184" name="Frame18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8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Fiscal Years</w:t>
            </w:r>
          </w:p>
        </w:tc>
        <w:tc>
          <w:tcPr>
            <w:tcW w:w="346" w:type="dxa"/>
            <w:tcBorders/>
            <w:vAlign w:val="center"/>
          </w:tcPr>
          <w:p>
            <w:pPr>
              <w:pStyle w:val="TableContents"/>
              <w:bidi w:val="0"/>
              <w:spacing w:before="0" w:after="1"/>
              <w:ind w:left="0" w:right="0" w:hanging="0"/>
              <w:jc w:val="center"/>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270,815</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317,989</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588,804</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(41,605)</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Present value of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547,199</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9 — INTANGIBLE ASSET, CONTINGENT CONSIDERATION ASSET AND GOODWILL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Acquisition of Edward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January 24, 2024, Cheetah Net entered into a Stock Purchase Agreement to acquire 100% of Edward. The transaction closed on February 2, 2024. The gross purchase price was $1.5 million. Consideration paid consisted of $0.3 million of cash and the issuance of 398 shares of Cheetah Net’s Class A common stock with a fair value of $1.2 million. In accordance with ASC 805, Business Combinations (“ASC 805”), it was determined that the fair value of the stock consideration was $0.9 million at the time of the transaction, reflecting a comprehensive evaluation of the stock’s market conditions and liquidity impacted by lock-up period restrictions.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967" w:name="Tc_N8UFgMU04UuEx3jh833CKg_9_2"/>
      <w:bookmarkStart w:id="968" w:name="Tc_8983apM1pkuXyQfqv2pn5A_9_0"/>
      <w:bookmarkStart w:id="969" w:name="Tc_4ZJUv4ygOkS1mB10FhdAug_8_0"/>
      <w:bookmarkStart w:id="970" w:name="Tc_UXMUoqGemkyNFYcg60EqTw_7_0"/>
      <w:bookmarkStart w:id="971" w:name="Tc_AayRXPayhky8cYmywPbUEA_6_0"/>
      <w:bookmarkStart w:id="972" w:name="Tc_QL3EYXgfEUiiWoG702YeaQ_5_0"/>
      <w:bookmarkStart w:id="973" w:name="Tc_RiSQLLqSO0yKkB9xDMEmqA_4_0"/>
      <w:bookmarkStart w:id="974" w:name="Tc_Y2grVNHmUU-r-4-BsQKsQg_3_0"/>
      <w:bookmarkStart w:id="975" w:name="Tc_BtY25ilZyUO5llZzarX2jQ_2_2"/>
      <w:bookmarkStart w:id="976" w:name="Tc_ztdhYzJu5E-uWpAEIGje4A_2_0"/>
      <w:bookmarkStart w:id="977" w:name="Tc_kOSoDllGQU-27coHrdpnIQ_1_0"/>
      <w:bookmarkStart w:id="978" w:name="Tc_p7zN36COREO4f_25KYf2eA_19_9"/>
      <w:bookmarkStart w:id="979" w:name="Tc_4fn4oZ1FDUKOPBp7j5QbIA_19_8"/>
      <w:bookmarkStart w:id="980" w:name="Tc_sN4mkLzrNkauzM66mv7kIg_19_5"/>
      <w:bookmarkStart w:id="981" w:name="Tc_K5JXO_pSLkuaaVViDDFEOQ_19_2"/>
      <w:bookmarkStart w:id="982" w:name="Tc_puguBDyNwE-cNbhkZuE0Sw_19_0"/>
      <w:bookmarkStart w:id="983" w:name="Tc_zRAZ3zx0q0eVHlRdHren3g_18_9"/>
      <w:bookmarkStart w:id="984" w:name="Tc_GGXHhSZofUebV631qdieBA_18_0"/>
      <w:bookmarkStart w:id="985" w:name="Tc_5Y_gHsDMRkyVNtW9m0_WDQ_17_9"/>
      <w:bookmarkStart w:id="986" w:name="Tc_9PwCFrthX0iBxdD3X6xH2Q_17_0"/>
      <w:bookmarkStart w:id="987" w:name="Tc_NAafLJXXrUGZuoRRHtF0wQ_16_6"/>
      <w:bookmarkStart w:id="988" w:name="Tc_G5z4pO2iBE-NXEpeGv_BVQ_16_0"/>
      <w:bookmarkStart w:id="989" w:name="Tc_DoOaflt6vEarU5Hv3g2VdA_15_9"/>
      <w:bookmarkStart w:id="990" w:name="Tc_eaDFzX46yUauu4zjDUCMRA_15_0"/>
      <w:bookmarkStart w:id="991" w:name="Tc_wI1qDNlTb0iY2csiNAqfTA_14_9"/>
      <w:bookmarkStart w:id="992" w:name="Tc_MQNqyn6dG0CeBp_Ko3SOQw_14_0"/>
      <w:bookmarkStart w:id="993" w:name="Tc_CtD4iPMxUUShnMZddZlzGA_13_9"/>
      <w:bookmarkStart w:id="994" w:name="Tc_h8-U4-hDj0mI47pN5--UnQ_13_0"/>
      <w:bookmarkStart w:id="995" w:name="Tc_MP9tF-Z3u0SKouYolDCrbA_12_0"/>
      <w:bookmarkStart w:id="996" w:name="Tc_nVtyqQyx5UWwjHZje-hBYw_11_9"/>
      <w:bookmarkStart w:id="997" w:name="Tc_w6jwYg6DIUaSpfs-FHCcrg_11_0"/>
      <w:bookmarkStart w:id="998" w:name="Tc_V2HLSnH9QEykYmcmPSfnkQ_10_9"/>
      <w:bookmarkStart w:id="999" w:name="Tc_WvPTfFsSnEe5v-eNaDNZag_10_0"/>
      <w:bookmarkStart w:id="1000" w:name="Tc_z8SYu_CAUEy1I70fZK8gtA_9_9"/>
      <w:bookmarkStart w:id="1001" w:name="Tc_PRcEIjjbj0-NTg_rG4wDhw_9_0"/>
      <w:bookmarkStart w:id="1002" w:name="Tc_-jIPBNBpN0y3AicNWLJRJQ_8_9"/>
      <w:bookmarkStart w:id="1003" w:name="Tc_rS_kgj_K1EeZzxeeh3bYhA_8_0"/>
      <w:bookmarkStart w:id="1004" w:name="Tc_eH1cEqxXv0eim5bFvkeuow_7_9"/>
      <w:bookmarkStart w:id="1005" w:name="Tc__Fyp1vg77kmchFhqCnEZnw_7_0"/>
      <w:bookmarkStart w:id="1006" w:name="Tc_7um8q0ofCUehX6altWhurw_6_9"/>
      <w:bookmarkStart w:id="1007" w:name="Tc_SfTwwrHrcEaNWY4zy2zXwA_6_0"/>
      <w:bookmarkStart w:id="1008" w:name="Tc_Ku4Zk36utUiqkkf4bE5Hhg_5_9"/>
      <w:bookmarkStart w:id="1009" w:name="Tc_R-DK9FwWeUm4zKRY0e6QEA_5_0"/>
      <w:bookmarkStart w:id="1010" w:name="Tc_lR6pWXA2UEGcIykmphIKjw_4_9"/>
      <w:bookmarkStart w:id="1011" w:name="Tc_ufm8aRu6tUW8K8SLPqU_ew_4_8"/>
      <w:bookmarkStart w:id="1012" w:name="Tc_YexjGc_szUCESWtzQzAt-w_4_5"/>
      <w:bookmarkStart w:id="1013" w:name="Tc_ayFT0s7utUCSR28-TBgd7g_4_2"/>
      <w:bookmarkStart w:id="1014" w:name="Tc_R9SKmwvp506gl4OptCD9lA_4_0"/>
      <w:bookmarkStart w:id="1015" w:name="Tc_e-tnncSgP0ST1FOvjaJJ6Q_3_0"/>
      <w:bookmarkStart w:id="1016" w:name="Tc_mOABfL-4YkuLWjWeU3RHZg_2_8"/>
      <w:bookmarkStart w:id="1017" w:name="Tc_Jb4uXZcAwEqQoKZppKUgng_2_5"/>
      <w:bookmarkStart w:id="1018" w:name="Tc_iUnUxq7ypkiwdcU0APX2MQ_2_2"/>
      <w:bookmarkStart w:id="1019" w:name="Tc_AshtQFdGjUGBz-PpY7ZFjw_1_8"/>
      <w:bookmarkStart w:id="1020" w:name="Tc_te63vvc220aZyrYf4W786Q_1_5"/>
      <w:bookmarkStart w:id="1021" w:name="Tc_78Nzn7qom0iEDF3fXoIWqQ_1_2"/>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r>
        <w:rPr>
          <w:rFonts w:ascii="Times New Roman;Times;serif" w:hAnsi="Times New Roman;Times;serif"/>
          <w:sz w:val="20"/>
        </w:rPr>
        <w:t>The purchase price was initially recorded on a preliminary basis as of February 2, 2024. The assets acquired and liabilities assumed were estimated based on management’s estimates, available information, and supportable assumptions that management considered reasonable. During the second quarter of 2024, the Company finalized the purchase price allocation. As a result, adjustments were made, particularly concerning the deferred tax liability related to intangible assets, which led to a corresponding adjustment in the value of goodwill. The final valuation of assets acquired and liabilities assumed was reflected in the financial statements as of December 31, 2024 and shown below.</w:t>
      </w:r>
    </w:p>
    <w:p>
      <w:pPr>
        <w:pStyle w:val="TextBody"/>
        <w:bidi w:val="0"/>
        <w:spacing w:before="0" w:after="0"/>
        <w:ind w:left="0" w:right="0" w:hanging="0"/>
        <w:jc w:val="left"/>
        <w:rPr/>
      </w:pPr>
      <w:r>
        <w:rPr/>
        <w:t>​</w:t>
      </w:r>
    </w:p>
    <w:tbl>
      <w:tblPr>
        <w:tblW w:w="9022" w:type="dxa"/>
        <w:jc w:val="left"/>
        <w:tblInd w:w="0" w:type="dxa"/>
        <w:tblLayout w:type="fixed"/>
        <w:tblCellMar>
          <w:top w:w="0" w:type="dxa"/>
          <w:left w:w="0" w:type="dxa"/>
          <w:bottom w:w="0" w:type="dxa"/>
          <w:right w:w="0" w:type="dxa"/>
        </w:tblCellMar>
      </w:tblPr>
      <w:tblGrid>
        <w:gridCol w:w="3601"/>
        <w:gridCol w:w="346"/>
        <w:gridCol w:w="285"/>
        <w:gridCol w:w="1260"/>
        <w:gridCol w:w="346"/>
        <w:gridCol w:w="310"/>
        <w:gridCol w:w="1371"/>
        <w:gridCol w:w="346"/>
        <w:gridCol w:w="211"/>
        <w:gridCol w:w="946"/>
      </w:tblGrid>
      <w:tr>
        <w:trPr/>
        <w:tc>
          <w:tcPr>
            <w:tcW w:w="3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286635" cy="175260"/>
                      <wp:effectExtent l="0" t="0" r="0" b="0"/>
                      <wp:wrapNone/>
                      <wp:docPr id="185" name="Frame185"/>
                      <a:graphic xmlns:a="http://schemas.openxmlformats.org/drawingml/2006/main">
                        <a:graphicData uri="http://schemas.microsoft.com/office/word/2010/wordprocessingShape">
                          <wps:wsp>
                            <wps:cNvSpPr txBox="1"/>
                            <wps:spPr>
                              <a:xfrm>
                                <a:off x="0" y="0"/>
                                <a:ext cx="2286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19710" cy="175260"/>
                      <wp:effectExtent l="0" t="0" r="0" b="0"/>
                      <wp:wrapNone/>
                      <wp:docPr id="186" name="Frame1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80975" cy="175260"/>
                      <wp:effectExtent l="0" t="0" r="0" b="0"/>
                      <wp:wrapNone/>
                      <wp:docPr id="187" name="Frame187"/>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800100" cy="175260"/>
                      <wp:effectExtent l="0" t="0" r="0" b="0"/>
                      <wp:wrapNone/>
                      <wp:docPr id="188" name="Frame188"/>
                      <a:graphic xmlns:a="http://schemas.openxmlformats.org/drawingml/2006/main">
                        <a:graphicData uri="http://schemas.microsoft.com/office/word/2010/wordprocessingShape">
                          <wps:wsp>
                            <wps:cNvSpPr txBox="1"/>
                            <wps:spPr>
                              <a:xfrm>
                                <a:off x="0" y="0"/>
                                <a:ext cx="800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19710" cy="175260"/>
                      <wp:effectExtent l="0" t="0" r="0" b="0"/>
                      <wp:wrapNone/>
                      <wp:docPr id="189" name="Frame1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96850" cy="175260"/>
                      <wp:effectExtent l="0" t="0" r="0" b="0"/>
                      <wp:wrapNone/>
                      <wp:docPr id="190" name="Frame190"/>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870585" cy="175260"/>
                      <wp:effectExtent l="0" t="0" r="0" b="0"/>
                      <wp:wrapNone/>
                      <wp:docPr id="191" name="Frame191"/>
                      <a:graphic xmlns:a="http://schemas.openxmlformats.org/drawingml/2006/main">
                        <a:graphicData uri="http://schemas.microsoft.com/office/word/2010/wordprocessingShape">
                          <wps:wsp>
                            <wps:cNvSpPr txBox="1"/>
                            <wps:spPr>
                              <a:xfrm>
                                <a:off x="0" y="0"/>
                                <a:ext cx="870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19710" cy="175260"/>
                      <wp:effectExtent l="0" t="0" r="0" b="0"/>
                      <wp:wrapNone/>
                      <wp:docPr id="192" name="Frame1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33985" cy="175260"/>
                      <wp:effectExtent l="0" t="0" r="0" b="0"/>
                      <wp:wrapNone/>
                      <wp:docPr id="193" name="Frame1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00710" cy="175260"/>
                      <wp:effectExtent l="0" t="0" r="0" b="0"/>
                      <wp:wrapNone/>
                      <wp:docPr id="194" name="Frame194"/>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5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June 30, 2024</w:t>
            </w:r>
          </w:p>
        </w:tc>
        <w:tc>
          <w:tcPr>
            <w:tcW w:w="346" w:type="dxa"/>
            <w:tcBorders/>
            <w:vAlign w:val="center"/>
          </w:tcPr>
          <w:p>
            <w:pPr>
              <w:pStyle w:val="TableContents"/>
              <w:bidi w:val="0"/>
              <w:spacing w:before="0" w:after="1"/>
              <w:ind w:left="0" w:right="0" w:hanging="0"/>
              <w:jc w:val="left"/>
              <w:rPr/>
            </w:pPr>
            <w:r>
              <w:rPr/>
              <w:t>​</w:t>
            </w:r>
          </w:p>
        </w:tc>
        <w:tc>
          <w:tcPr>
            <w:tcW w:w="16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March 31, 2024</w:t>
            </w:r>
          </w:p>
        </w:tc>
        <w:tc>
          <w:tcPr>
            <w:tcW w:w="346" w:type="dxa"/>
            <w:tcBorders/>
            <w:vAlign w:val="center"/>
          </w:tcPr>
          <w:p>
            <w:pPr>
              <w:pStyle w:val="TableContents"/>
              <w:bidi w:val="0"/>
              <w:spacing w:before="0" w:after="1"/>
              <w:ind w:left="0" w:right="0" w:hanging="0"/>
              <w:jc w:val="left"/>
              <w:rPr/>
            </w:pPr>
            <w:r>
              <w:rPr/>
              <w:t>​</w:t>
            </w:r>
          </w:p>
        </w:tc>
        <w:tc>
          <w:tcPr>
            <w:tcW w:w="11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36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5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Finalized value</w:t>
            </w:r>
          </w:p>
        </w:tc>
        <w:tc>
          <w:tcPr>
            <w:tcW w:w="346" w:type="dxa"/>
            <w:tcBorders/>
            <w:vAlign w:val="center"/>
          </w:tcPr>
          <w:p>
            <w:pPr>
              <w:pStyle w:val="TableContents"/>
              <w:bidi w:val="0"/>
              <w:spacing w:before="0" w:after="1"/>
              <w:ind w:left="0" w:right="0" w:hanging="0"/>
              <w:jc w:val="left"/>
              <w:rPr/>
            </w:pPr>
            <w:r>
              <w:rPr/>
              <w:t>  ​ ​ ​</w:t>
            </w:r>
          </w:p>
        </w:tc>
        <w:tc>
          <w:tcPr>
            <w:tcW w:w="16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Preliminary value</w:t>
            </w:r>
          </w:p>
        </w:tc>
        <w:tc>
          <w:tcPr>
            <w:tcW w:w="346" w:type="dxa"/>
            <w:tcBorders/>
            <w:vAlign w:val="center"/>
          </w:tcPr>
          <w:p>
            <w:pPr>
              <w:pStyle w:val="TableContents"/>
              <w:bidi w:val="0"/>
              <w:spacing w:before="0" w:after="1"/>
              <w:ind w:left="0" w:right="0" w:hanging="0"/>
              <w:jc w:val="left"/>
              <w:rPr/>
            </w:pPr>
            <w:r>
              <w:rPr/>
              <w:t>  ​ ​ ​</w:t>
            </w:r>
          </w:p>
        </w:tc>
        <w:tc>
          <w:tcPr>
            <w:tcW w:w="11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360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Acquired assets acquired and (liabilities):</w:t>
            </w:r>
          </w:p>
        </w:tc>
        <w:tc>
          <w:tcPr>
            <w:tcW w:w="346" w:type="dxa"/>
            <w:tcBorders/>
            <w:shd w:fill="CCEEFF" w:val="clear"/>
            <w:vAlign w:val="center"/>
          </w:tcPr>
          <w:p>
            <w:pPr>
              <w:pStyle w:val="TableContents"/>
              <w:bidi w:val="0"/>
              <w:spacing w:before="0" w:after="1"/>
              <w:ind w:left="0" w:right="0" w:hanging="0"/>
              <w:jc w:val="left"/>
              <w:rPr/>
            </w:pPr>
            <w:r>
              <w:rPr/>
              <w:t>  ​ ​ ​</w:t>
            </w:r>
          </w:p>
        </w:tc>
        <w:tc>
          <w:tcPr>
            <w:tcW w:w="285" w:type="dxa"/>
            <w:tcBorders/>
            <w:shd w:fill="CCEEFF" w:val="clear"/>
            <w:vAlign w:val="center"/>
          </w:tcPr>
          <w:p>
            <w:pPr>
              <w:pStyle w:val="TableContents"/>
              <w:bidi w:val="0"/>
              <w:spacing w:before="0" w:after="1"/>
              <w:ind w:left="0" w:right="0" w:hanging="0"/>
              <w:jc w:val="left"/>
              <w:rPr/>
            </w:pPr>
            <w:r>
              <w:rPr/>
              <w:t>​</w:t>
            </w:r>
          </w:p>
        </w:tc>
        <w:tc>
          <w:tcPr>
            <w:tcW w:w="1260" w:type="dxa"/>
            <w:tcBorders/>
            <w:shd w:fill="CCEEFF" w:val="clear"/>
            <w:vAlign w:val="center"/>
          </w:tcPr>
          <w:p>
            <w:pPr>
              <w:pStyle w:val="TableContents"/>
              <w:bidi w:val="0"/>
              <w:spacing w:before="0" w:after="1"/>
              <w:ind w:left="0" w:right="0" w:hanging="0"/>
              <w:jc w:val="left"/>
              <w:rPr/>
            </w:pPr>
            <w:r>
              <w:rPr/>
              <w:t>  ​ ​ ​</w:t>
            </w:r>
          </w:p>
        </w:tc>
        <w:tc>
          <w:tcPr>
            <w:tcW w:w="34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13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left"/>
              <w:rPr/>
            </w:pPr>
            <w:r>
              <w:rPr/>
              <w:t>​</w:t>
            </w:r>
          </w:p>
        </w:tc>
      </w:tr>
      <w:tr>
        <w:trPr/>
        <w:tc>
          <w:tcPr>
            <w:tcW w:w="360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w:t>
            </w:r>
          </w:p>
        </w:tc>
        <w:tc>
          <w:tcPr>
            <w:tcW w:w="34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79,883</w:t>
            </w:r>
          </w:p>
        </w:tc>
        <w:tc>
          <w:tcPr>
            <w:tcW w:w="346" w:type="dxa"/>
            <w:tcBorders/>
            <w:vAlign w:val="center"/>
          </w:tcPr>
          <w:p>
            <w:pPr>
              <w:pStyle w:val="TableContents"/>
              <w:bidi w:val="0"/>
              <w:spacing w:before="0" w:after="1"/>
              <w:ind w:left="0" w:right="0" w:hanging="0"/>
              <w:jc w:val="right"/>
              <w:rPr/>
            </w:pPr>
            <w:r>
              <w:rPr/>
              <w:t>​</w:t>
            </w:r>
          </w:p>
        </w:tc>
        <w:tc>
          <w:tcPr>
            <w:tcW w:w="31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79,883</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vAlign w:val="center"/>
          </w:tcPr>
          <w:p>
            <w:pPr>
              <w:pStyle w:val="TableContents"/>
              <w:bidi w:val="0"/>
              <w:spacing w:before="0" w:after="1"/>
              <w:ind w:left="0" w:right="0" w:hanging="0"/>
              <w:jc w:val="right"/>
              <w:rPr/>
            </w:pPr>
            <w:r>
              <w:rPr/>
              <w:t>—</w:t>
            </w:r>
          </w:p>
        </w:tc>
      </w:tr>
      <w:tr>
        <w:trPr/>
        <w:tc>
          <w:tcPr>
            <w:tcW w:w="360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4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w:t>
            </w:r>
          </w:p>
        </w:tc>
        <w:tc>
          <w:tcPr>
            <w:tcW w:w="12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47,354</w:t>
            </w:r>
          </w:p>
        </w:tc>
        <w:tc>
          <w:tcPr>
            <w:tcW w:w="346" w:type="dxa"/>
            <w:tcBorders/>
            <w:shd w:fill="CCEEFF" w:val="clear"/>
            <w:vAlign w:val="center"/>
          </w:tcPr>
          <w:p>
            <w:pPr>
              <w:pStyle w:val="TableContents"/>
              <w:bidi w:val="0"/>
              <w:spacing w:before="0" w:after="1"/>
              <w:ind w:left="0" w:right="0" w:hanging="0"/>
              <w:jc w:val="righ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13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47,354</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r>
      <w:tr>
        <w:trPr/>
        <w:tc>
          <w:tcPr>
            <w:tcW w:w="360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4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w:t>
            </w:r>
          </w:p>
        </w:tc>
        <w:tc>
          <w:tcPr>
            <w:tcW w:w="126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42,685</w:t>
            </w:r>
          </w:p>
        </w:tc>
        <w:tc>
          <w:tcPr>
            <w:tcW w:w="346" w:type="dxa"/>
            <w:tcBorders/>
            <w:vAlign w:val="center"/>
          </w:tcPr>
          <w:p>
            <w:pPr>
              <w:pStyle w:val="TableContents"/>
              <w:bidi w:val="0"/>
              <w:spacing w:before="0" w:after="1"/>
              <w:ind w:left="0" w:right="0" w:hanging="0"/>
              <w:jc w:val="right"/>
              <w:rPr/>
            </w:pPr>
            <w:r>
              <w:rPr/>
              <w:t>​</w:t>
            </w:r>
          </w:p>
        </w:tc>
        <w:tc>
          <w:tcPr>
            <w:tcW w:w="310" w:type="dxa"/>
            <w:tcBorders/>
            <w:vAlign w:val="center"/>
          </w:tcPr>
          <w:p>
            <w:pPr>
              <w:pStyle w:val="TableContents"/>
              <w:bidi w:val="0"/>
              <w:spacing w:before="0" w:after="1"/>
              <w:ind w:left="0" w:right="0" w:hanging="0"/>
              <w:jc w:val="left"/>
              <w:rPr/>
            </w:pPr>
            <w:r>
              <w:rPr/>
              <w:t>​</w:t>
            </w:r>
          </w:p>
        </w:tc>
        <w:tc>
          <w:tcPr>
            <w:tcW w:w="13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42,685</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r>
      <w:tr>
        <w:trPr/>
        <w:tc>
          <w:tcPr>
            <w:tcW w:w="360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Right-of-use Lease Asset</w:t>
            </w:r>
          </w:p>
        </w:tc>
        <w:tc>
          <w:tcPr>
            <w:tcW w:w="34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w:t>
            </w:r>
          </w:p>
        </w:tc>
        <w:tc>
          <w:tcPr>
            <w:tcW w:w="12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645,625</w:t>
            </w:r>
          </w:p>
        </w:tc>
        <w:tc>
          <w:tcPr>
            <w:tcW w:w="346" w:type="dxa"/>
            <w:tcBorders/>
            <w:shd w:fill="CCEEFF" w:val="clear"/>
            <w:vAlign w:val="center"/>
          </w:tcPr>
          <w:p>
            <w:pPr>
              <w:pStyle w:val="TableContents"/>
              <w:bidi w:val="0"/>
              <w:spacing w:before="0" w:after="1"/>
              <w:ind w:left="0" w:right="0" w:hanging="0"/>
              <w:jc w:val="righ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13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645,625</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r>
      <w:tr>
        <w:trPr/>
        <w:tc>
          <w:tcPr>
            <w:tcW w:w="360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Fixed Assets</w:t>
            </w:r>
          </w:p>
        </w:tc>
        <w:tc>
          <w:tcPr>
            <w:tcW w:w="34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w:t>
            </w:r>
          </w:p>
        </w:tc>
        <w:tc>
          <w:tcPr>
            <w:tcW w:w="126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60,795</w:t>
            </w:r>
          </w:p>
        </w:tc>
        <w:tc>
          <w:tcPr>
            <w:tcW w:w="346" w:type="dxa"/>
            <w:tcBorders/>
            <w:vAlign w:val="center"/>
          </w:tcPr>
          <w:p>
            <w:pPr>
              <w:pStyle w:val="TableContents"/>
              <w:bidi w:val="0"/>
              <w:spacing w:before="0" w:after="1"/>
              <w:ind w:left="0" w:right="0" w:hanging="0"/>
              <w:jc w:val="right"/>
              <w:rPr/>
            </w:pPr>
            <w:r>
              <w:rPr/>
              <w:t>​</w:t>
            </w:r>
          </w:p>
        </w:tc>
        <w:tc>
          <w:tcPr>
            <w:tcW w:w="310" w:type="dxa"/>
            <w:tcBorders/>
            <w:vAlign w:val="center"/>
          </w:tcPr>
          <w:p>
            <w:pPr>
              <w:pStyle w:val="TableContents"/>
              <w:bidi w:val="0"/>
              <w:spacing w:before="0" w:after="1"/>
              <w:ind w:left="0" w:right="0" w:hanging="0"/>
              <w:jc w:val="left"/>
              <w:rPr/>
            </w:pPr>
            <w:r>
              <w:rPr/>
              <w:t>​</w:t>
            </w:r>
          </w:p>
        </w:tc>
        <w:tc>
          <w:tcPr>
            <w:tcW w:w="13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60,795</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r>
      <w:tr>
        <w:trPr/>
        <w:tc>
          <w:tcPr>
            <w:tcW w:w="360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Developed Technology</w:t>
            </w:r>
          </w:p>
        </w:tc>
        <w:tc>
          <w:tcPr>
            <w:tcW w:w="34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w:t>
            </w:r>
          </w:p>
        </w:tc>
        <w:tc>
          <w:tcPr>
            <w:tcW w:w="12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120,000</w:t>
            </w:r>
          </w:p>
        </w:tc>
        <w:tc>
          <w:tcPr>
            <w:tcW w:w="346" w:type="dxa"/>
            <w:tcBorders/>
            <w:shd w:fill="CCEEFF" w:val="clear"/>
            <w:vAlign w:val="center"/>
          </w:tcPr>
          <w:p>
            <w:pPr>
              <w:pStyle w:val="TableContents"/>
              <w:bidi w:val="0"/>
              <w:spacing w:before="0" w:after="1"/>
              <w:ind w:left="0" w:right="0" w:hanging="0"/>
              <w:jc w:val="righ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13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120,000</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r>
      <w:tr>
        <w:trPr/>
        <w:tc>
          <w:tcPr>
            <w:tcW w:w="360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4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w:t>
            </w:r>
          </w:p>
        </w:tc>
        <w:tc>
          <w:tcPr>
            <w:tcW w:w="126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360,000</w:t>
            </w:r>
          </w:p>
        </w:tc>
        <w:tc>
          <w:tcPr>
            <w:tcW w:w="346" w:type="dxa"/>
            <w:tcBorders/>
            <w:vAlign w:val="center"/>
          </w:tcPr>
          <w:p>
            <w:pPr>
              <w:pStyle w:val="TableContents"/>
              <w:bidi w:val="0"/>
              <w:spacing w:before="0" w:after="1"/>
              <w:ind w:left="0" w:right="0" w:hanging="0"/>
              <w:jc w:val="right"/>
              <w:rPr/>
            </w:pPr>
            <w:r>
              <w:rPr/>
              <w:t>​</w:t>
            </w:r>
          </w:p>
        </w:tc>
        <w:tc>
          <w:tcPr>
            <w:tcW w:w="310" w:type="dxa"/>
            <w:tcBorders/>
            <w:vAlign w:val="center"/>
          </w:tcPr>
          <w:p>
            <w:pPr>
              <w:pStyle w:val="TableContents"/>
              <w:bidi w:val="0"/>
              <w:spacing w:before="0" w:after="1"/>
              <w:ind w:left="0" w:right="0" w:hanging="0"/>
              <w:jc w:val="left"/>
              <w:rPr/>
            </w:pPr>
            <w:r>
              <w:rPr/>
              <w:t>​</w:t>
            </w:r>
          </w:p>
        </w:tc>
        <w:tc>
          <w:tcPr>
            <w:tcW w:w="13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360,000</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r>
      <w:tr>
        <w:trPr/>
        <w:tc>
          <w:tcPr>
            <w:tcW w:w="360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Names</w:t>
            </w:r>
          </w:p>
        </w:tc>
        <w:tc>
          <w:tcPr>
            <w:tcW w:w="34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w:t>
            </w:r>
          </w:p>
        </w:tc>
        <w:tc>
          <w:tcPr>
            <w:tcW w:w="12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36,000</w:t>
            </w:r>
          </w:p>
        </w:tc>
        <w:tc>
          <w:tcPr>
            <w:tcW w:w="346" w:type="dxa"/>
            <w:tcBorders/>
            <w:shd w:fill="CCEEFF" w:val="clear"/>
            <w:vAlign w:val="center"/>
          </w:tcPr>
          <w:p>
            <w:pPr>
              <w:pStyle w:val="TableContents"/>
              <w:bidi w:val="0"/>
              <w:spacing w:before="0" w:after="1"/>
              <w:ind w:left="0" w:right="0" w:hanging="0"/>
              <w:jc w:val="righ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13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36,000</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r>
      <w:tr>
        <w:trPr/>
        <w:tc>
          <w:tcPr>
            <w:tcW w:w="360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w:t>
            </w:r>
          </w:p>
        </w:tc>
        <w:tc>
          <w:tcPr>
            <w:tcW w:w="126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568,532</w:t>
            </w:r>
          </w:p>
        </w:tc>
        <w:tc>
          <w:tcPr>
            <w:tcW w:w="346" w:type="dxa"/>
            <w:tcBorders/>
            <w:vAlign w:val="center"/>
          </w:tcPr>
          <w:p>
            <w:pPr>
              <w:pStyle w:val="TableContents"/>
              <w:bidi w:val="0"/>
              <w:spacing w:before="0" w:after="1"/>
              <w:ind w:left="0" w:right="0" w:hanging="0"/>
              <w:jc w:val="right"/>
              <w:rPr/>
            </w:pPr>
            <w:r>
              <w:rPr/>
              <w:t>​</w:t>
            </w:r>
          </w:p>
        </w:tc>
        <w:tc>
          <w:tcPr>
            <w:tcW w:w="310" w:type="dxa"/>
            <w:tcBorders/>
            <w:vAlign w:val="center"/>
          </w:tcPr>
          <w:p>
            <w:pPr>
              <w:pStyle w:val="TableContents"/>
              <w:bidi w:val="0"/>
              <w:spacing w:before="0" w:after="1"/>
              <w:ind w:left="0" w:right="0" w:hanging="0"/>
              <w:jc w:val="left"/>
              <w:rPr/>
            </w:pPr>
            <w:r>
              <w:rPr/>
              <w:t>​</w:t>
            </w:r>
          </w:p>
        </w:tc>
        <w:tc>
          <w:tcPr>
            <w:tcW w:w="13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437,382</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131,150</w:t>
            </w:r>
          </w:p>
        </w:tc>
      </w:tr>
      <w:tr>
        <w:trPr/>
        <w:tc>
          <w:tcPr>
            <w:tcW w:w="360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Noncurrent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w:t>
            </w:r>
          </w:p>
        </w:tc>
        <w:tc>
          <w:tcPr>
            <w:tcW w:w="12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27,000</w:t>
            </w:r>
          </w:p>
        </w:tc>
        <w:tc>
          <w:tcPr>
            <w:tcW w:w="346" w:type="dxa"/>
            <w:tcBorders/>
            <w:shd w:fill="CCEEFF" w:val="clear"/>
            <w:vAlign w:val="center"/>
          </w:tcPr>
          <w:p>
            <w:pPr>
              <w:pStyle w:val="TableContents"/>
              <w:bidi w:val="0"/>
              <w:spacing w:before="0" w:after="1"/>
              <w:ind w:left="0" w:right="0" w:hanging="0"/>
              <w:jc w:val="righ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13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27,000</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r>
      <w:tr>
        <w:trPr/>
        <w:tc>
          <w:tcPr>
            <w:tcW w:w="360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w:t>
            </w:r>
          </w:p>
        </w:tc>
        <w:tc>
          <w:tcPr>
            <w:tcW w:w="126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(34,686)</w:t>
            </w:r>
          </w:p>
        </w:tc>
        <w:tc>
          <w:tcPr>
            <w:tcW w:w="346" w:type="dxa"/>
            <w:tcBorders/>
            <w:vAlign w:val="center"/>
          </w:tcPr>
          <w:p>
            <w:pPr>
              <w:pStyle w:val="TableContents"/>
              <w:bidi w:val="0"/>
              <w:spacing w:before="0" w:after="1"/>
              <w:ind w:left="0" w:right="0" w:hanging="0"/>
              <w:jc w:val="right"/>
              <w:rPr/>
            </w:pPr>
            <w:r>
              <w:rPr/>
              <w:t>​</w:t>
            </w:r>
          </w:p>
        </w:tc>
        <w:tc>
          <w:tcPr>
            <w:tcW w:w="310" w:type="dxa"/>
            <w:tcBorders/>
            <w:vAlign w:val="center"/>
          </w:tcPr>
          <w:p>
            <w:pPr>
              <w:pStyle w:val="TableContents"/>
              <w:bidi w:val="0"/>
              <w:spacing w:before="0" w:after="1"/>
              <w:ind w:left="0" w:right="0" w:hanging="0"/>
              <w:jc w:val="left"/>
              <w:rPr/>
            </w:pPr>
            <w:r>
              <w:rPr/>
              <w:t>​</w:t>
            </w:r>
          </w:p>
        </w:tc>
        <w:tc>
          <w:tcPr>
            <w:tcW w:w="13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(34,686)</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r>
      <w:tr>
        <w:trPr/>
        <w:tc>
          <w:tcPr>
            <w:tcW w:w="360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Expenses Payable</w:t>
            </w:r>
          </w:p>
        </w:tc>
        <w:tc>
          <w:tcPr>
            <w:tcW w:w="34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w:t>
            </w:r>
          </w:p>
        </w:tc>
        <w:tc>
          <w:tcPr>
            <w:tcW w:w="12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(20,933)</w:t>
            </w:r>
          </w:p>
        </w:tc>
        <w:tc>
          <w:tcPr>
            <w:tcW w:w="346" w:type="dxa"/>
            <w:tcBorders/>
            <w:shd w:fill="CCEEFF" w:val="clear"/>
            <w:vAlign w:val="center"/>
          </w:tcPr>
          <w:p>
            <w:pPr>
              <w:pStyle w:val="TableContents"/>
              <w:bidi w:val="0"/>
              <w:spacing w:before="0" w:after="1"/>
              <w:ind w:left="0" w:right="0" w:hanging="0"/>
              <w:jc w:val="righ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13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(20,933)</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r>
      <w:tr>
        <w:trPr/>
        <w:tc>
          <w:tcPr>
            <w:tcW w:w="360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Liability</w:t>
            </w:r>
          </w:p>
        </w:tc>
        <w:tc>
          <w:tcPr>
            <w:tcW w:w="34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w:t>
            </w:r>
          </w:p>
        </w:tc>
        <w:tc>
          <w:tcPr>
            <w:tcW w:w="126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(131,150)</w:t>
            </w:r>
          </w:p>
        </w:tc>
        <w:tc>
          <w:tcPr>
            <w:tcW w:w="346" w:type="dxa"/>
            <w:tcBorders/>
            <w:vAlign w:val="center"/>
          </w:tcPr>
          <w:p>
            <w:pPr>
              <w:pStyle w:val="TableContents"/>
              <w:bidi w:val="0"/>
              <w:spacing w:before="0" w:after="1"/>
              <w:ind w:left="0" w:right="0" w:hanging="0"/>
              <w:jc w:val="right"/>
              <w:rPr/>
            </w:pPr>
            <w:r>
              <w:rPr/>
              <w:t>​</w:t>
            </w:r>
          </w:p>
        </w:tc>
        <w:tc>
          <w:tcPr>
            <w:tcW w:w="310" w:type="dxa"/>
            <w:tcBorders/>
            <w:vAlign w:val="center"/>
          </w:tcPr>
          <w:p>
            <w:pPr>
              <w:pStyle w:val="TableContents"/>
              <w:bidi w:val="0"/>
              <w:spacing w:before="0" w:after="1"/>
              <w:ind w:left="0" w:right="0" w:hanging="0"/>
              <w:jc w:val="left"/>
              <w:rPr/>
            </w:pPr>
            <w:r>
              <w:rPr/>
              <w:t>​</w:t>
            </w:r>
          </w:p>
        </w:tc>
        <w:tc>
          <w:tcPr>
            <w:tcW w:w="13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(131,150)</w:t>
            </w:r>
          </w:p>
        </w:tc>
      </w:tr>
      <w:tr>
        <w:trPr/>
        <w:tc>
          <w:tcPr>
            <w:tcW w:w="360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Liability, Current</w:t>
            </w:r>
          </w:p>
        </w:tc>
        <w:tc>
          <w:tcPr>
            <w:tcW w:w="34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w:t>
            </w:r>
          </w:p>
        </w:tc>
        <w:tc>
          <w:tcPr>
            <w:tcW w:w="12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(94,548)</w:t>
            </w:r>
          </w:p>
        </w:tc>
        <w:tc>
          <w:tcPr>
            <w:tcW w:w="346" w:type="dxa"/>
            <w:tcBorders/>
            <w:shd w:fill="CCEEFF" w:val="clear"/>
            <w:vAlign w:val="center"/>
          </w:tcPr>
          <w:p>
            <w:pPr>
              <w:pStyle w:val="TableContents"/>
              <w:bidi w:val="0"/>
              <w:spacing w:before="0" w:after="1"/>
              <w:ind w:left="0" w:right="0" w:hanging="0"/>
              <w:jc w:val="righ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13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(94,548)</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r>
      <w:tr>
        <w:trPr/>
        <w:tc>
          <w:tcPr>
            <w:tcW w:w="360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Liability, Long Term</w:t>
            </w:r>
          </w:p>
        </w:tc>
        <w:tc>
          <w:tcPr>
            <w:tcW w:w="346" w:type="dxa"/>
            <w:tcBorders/>
            <w:vAlign w:val="center"/>
          </w:tcPr>
          <w:p>
            <w:pPr>
              <w:pStyle w:val="TableContents"/>
              <w:bidi w:val="0"/>
              <w:spacing w:before="0" w:after="1"/>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6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(506,557)</w:t>
            </w:r>
          </w:p>
        </w:tc>
        <w:tc>
          <w:tcPr>
            <w:tcW w:w="346" w:type="dxa"/>
            <w:tcBorders/>
            <w:vAlign w:val="center"/>
          </w:tcPr>
          <w:p>
            <w:pPr>
              <w:pStyle w:val="TableContents"/>
              <w:bidi w:val="0"/>
              <w:spacing w:before="0" w:after="1"/>
              <w:ind w:left="0" w:right="0" w:hanging="0"/>
              <w:jc w:val="right"/>
              <w:rPr/>
            </w:pPr>
            <w:r>
              <w:rPr/>
              <w:t>​</w:t>
            </w:r>
          </w:p>
        </w:tc>
        <w:tc>
          <w:tcPr>
            <w:tcW w:w="31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(506,557)</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60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Purchase Consideration</w:t>
            </w:r>
          </w:p>
        </w:tc>
        <w:tc>
          <w:tcPr>
            <w:tcW w:w="346" w:type="dxa"/>
            <w:tcBorders/>
            <w:shd w:fill="CCEEFF" w:val="clear"/>
            <w:vAlign w:val="center"/>
          </w:tcPr>
          <w:p>
            <w:pPr>
              <w:pStyle w:val="TableContents"/>
              <w:bidi w:val="0"/>
              <w:spacing w:before="0" w:after="1"/>
              <w:ind w:left="0" w:right="0" w:hanging="0"/>
              <w:jc w:val="left"/>
              <w:rPr/>
            </w:pPr>
            <w:r>
              <w:rPr/>
              <w:t>​</w:t>
            </w:r>
          </w:p>
        </w:tc>
        <w:tc>
          <w:tcPr>
            <w:tcW w:w="28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1,200,000</w:t>
            </w:r>
          </w:p>
        </w:tc>
        <w:tc>
          <w:tcPr>
            <w:tcW w:w="346" w:type="dxa"/>
            <w:tcBorders/>
            <w:shd w:fill="CCEEFF" w:val="clear"/>
            <w:vAlign w:val="center"/>
          </w:tcPr>
          <w:p>
            <w:pPr>
              <w:pStyle w:val="TableContents"/>
              <w:bidi w:val="0"/>
              <w:spacing w:before="0" w:after="1"/>
              <w:ind w:left="0" w:right="0" w:hanging="0"/>
              <w:jc w:val="righ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1,200,000</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fair value of the accounts receivable, other assets, and liabilities assumed approximates their gross contractual amounts. The fair value of the fixed assets approximates its net carrying value as of the acquisition date. The fair values of intangible assets, including $120,000 of developed technology, $360,000 of customer relationships, and $36,000 of trade names, were determined using assumptions that are representative of those market participants would use in estimating fair value.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April 1, 2026, the Company completed the disposition of Edward, a wholly owned subsidiary of the Company, pursuant to the Stock Purchase Agreement dated March 25, 2026. Upon completion of the disposition, the Company derecognized the assets and liabilities associated with Edward, including the remaining carrying amounts of the related intangible assets.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Acquisition of TWEW</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November 27, 2024, the Company entered into a Stock Purchase Agreement to acquire 100% of the equity interests in TWEW. The transaction closed on December 19, 2024. The gross purchase price was $1 million, which consisted of $0.2 million of cash and the issuance of 2,348 shares of the Company’s Class A common stock with a fair value of $0.8 million. Following ASC 805, it was determined that the fair value of the stock consideration was $1 million at the time of the transaction, reflecting a comprehensive evaluation of the stock’s market conditions and liquidity impacted by lock-up period restrictions.</w:t>
      </w:r>
    </w:p>
    <w:p>
      <w:pPr>
        <w:pStyle w:val="TextBody"/>
        <w:bidi w:val="0"/>
        <w:spacing w:before="0" w:after="240"/>
        <w:ind w:left="0" w:right="0" w:hanging="0"/>
        <w:jc w:val="both"/>
        <w:rPr/>
      </w:pPr>
      <w:r>
        <w:rPr/>
        <w:t>​</w:t>
      </w:r>
    </w:p>
    <w:tbl>
      <w:tblPr>
        <w:tblW w:w="5209" w:type="dxa"/>
        <w:jc w:val="left"/>
        <w:tblInd w:w="0" w:type="dxa"/>
        <w:tblLayout w:type="fixed"/>
        <w:tblCellMar>
          <w:top w:w="0" w:type="dxa"/>
          <w:left w:w="0" w:type="dxa"/>
          <w:bottom w:w="0" w:type="dxa"/>
          <w:right w:w="0" w:type="dxa"/>
        </w:tblCellMar>
      </w:tblPr>
      <w:tblGrid>
        <w:gridCol w:w="3601"/>
        <w:gridCol w:w="346"/>
        <w:gridCol w:w="226"/>
        <w:gridCol w:w="1036"/>
      </w:tblGrid>
      <w:tr>
        <w:trPr/>
        <w:tc>
          <w:tcPr>
            <w:tcW w:w="3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286635" cy="175260"/>
                      <wp:effectExtent l="0" t="0" r="0" b="0"/>
                      <wp:wrapNone/>
                      <wp:docPr id="195" name="Frame195"/>
                      <a:graphic xmlns:a="http://schemas.openxmlformats.org/drawingml/2006/main">
                        <a:graphicData uri="http://schemas.microsoft.com/office/word/2010/wordprocessingShape">
                          <wps:wsp>
                            <wps:cNvSpPr txBox="1"/>
                            <wps:spPr>
                              <a:xfrm>
                                <a:off x="0" y="0"/>
                                <a:ext cx="2286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19710" cy="175260"/>
                      <wp:effectExtent l="0" t="0" r="0" b="0"/>
                      <wp:wrapNone/>
                      <wp:docPr id="196" name="Frame1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43510" cy="175260"/>
                      <wp:effectExtent l="0" t="0" r="0" b="0"/>
                      <wp:wrapNone/>
                      <wp:docPr id="197" name="Frame19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57860" cy="175260"/>
                      <wp:effectExtent l="0" t="0" r="0" b="0"/>
                      <wp:wrapNone/>
                      <wp:docPr id="198" name="Frame19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0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Acquired assets acquired and (liabilities):</w:t>
            </w:r>
          </w:p>
        </w:tc>
        <w:tc>
          <w:tcPr>
            <w:tcW w:w="346" w:type="dxa"/>
            <w:tcBorders/>
            <w:shd w:fill="CCEEFF" w:val="clear"/>
            <w:vAlign w:val="center"/>
          </w:tcPr>
          <w:p>
            <w:pPr>
              <w:pStyle w:val="TableContents"/>
              <w:bidi w:val="0"/>
              <w:spacing w:before="0" w:after="1"/>
              <w:ind w:left="0" w:right="0" w:hanging="0"/>
              <w:jc w:val="center"/>
              <w:rPr/>
            </w:pPr>
            <w:r>
              <w:rPr/>
              <w:t>  ​ ​ ​</w:t>
            </w:r>
          </w:p>
        </w:tc>
        <w:tc>
          <w:tcPr>
            <w:tcW w:w="226" w:type="dxa"/>
            <w:tcBorders/>
            <w:shd w:fill="CCEEFF" w:val="clear"/>
            <w:vAlign w:val="center"/>
          </w:tcPr>
          <w:p>
            <w:pPr>
              <w:pStyle w:val="TableContents"/>
              <w:bidi w:val="0"/>
              <w:spacing w:before="0" w:after="1"/>
              <w:ind w:left="0" w:right="0" w:hanging="0"/>
              <w:jc w:val="center"/>
              <w:rPr/>
            </w:pPr>
            <w:r>
              <w:rPr/>
              <w:t>  ​</w:t>
            </w:r>
          </w:p>
        </w:tc>
        <w:tc>
          <w:tcPr>
            <w:tcW w:w="1036" w:type="dxa"/>
            <w:tcBorders/>
            <w:shd w:fill="CCEEFF" w:val="clear"/>
            <w:vAlign w:val="center"/>
          </w:tcPr>
          <w:p>
            <w:pPr>
              <w:pStyle w:val="TableContents"/>
              <w:bidi w:val="0"/>
              <w:spacing w:before="0" w:after="1"/>
              <w:ind w:left="0" w:right="0" w:hanging="0"/>
              <w:jc w:val="center"/>
              <w:rPr/>
            </w:pPr>
            <w:r>
              <w:rPr/>
              <w:t>​</w:t>
            </w:r>
          </w:p>
        </w:tc>
      </w:tr>
      <w:tr>
        <w:trPr/>
        <w:tc>
          <w:tcPr>
            <w:tcW w:w="360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69,980</w:t>
            </w:r>
          </w:p>
        </w:tc>
      </w:tr>
      <w:tr>
        <w:trPr/>
        <w:tc>
          <w:tcPr>
            <w:tcW w:w="360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43,120</w:t>
            </w:r>
          </w:p>
        </w:tc>
      </w:tr>
      <w:tr>
        <w:trPr/>
        <w:tc>
          <w:tcPr>
            <w:tcW w:w="360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1,210</w:t>
            </w:r>
          </w:p>
        </w:tc>
      </w:tr>
      <w:tr>
        <w:trPr/>
        <w:tc>
          <w:tcPr>
            <w:tcW w:w="360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600,000</w:t>
            </w:r>
          </w:p>
        </w:tc>
      </w:tr>
      <w:tr>
        <w:trPr/>
        <w:tc>
          <w:tcPr>
            <w:tcW w:w="360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475,861</w:t>
            </w:r>
          </w:p>
        </w:tc>
      </w:tr>
      <w:tr>
        <w:trPr/>
        <w:tc>
          <w:tcPr>
            <w:tcW w:w="360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Liability</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(140,171)</w:t>
            </w:r>
          </w:p>
        </w:tc>
      </w:tr>
      <w:tr>
        <w:trPr/>
        <w:tc>
          <w:tcPr>
            <w:tcW w:w="360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 term loan payable</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(50,000)</w:t>
            </w:r>
          </w:p>
        </w:tc>
      </w:tr>
      <w:tr>
        <w:trPr/>
        <w:tc>
          <w:tcPr>
            <w:tcW w:w="360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Purchase Consideration</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1,000,000</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022" w:name="Tc_rwfOrlzymEOZWdGW1GrJHA_5_0"/>
      <w:bookmarkStart w:id="1023" w:name="Tc_Z6Y1aOpmy0-bpD6geQ-5Mw_4_0"/>
      <w:bookmarkStart w:id="1024" w:name="Tc_i5vkRHYW1USHG5The6xYSQ_3_0"/>
      <w:bookmarkStart w:id="1025" w:name="Tc_pvKQPH1PAkSYoaesStTBFA_2_0"/>
      <w:bookmarkStart w:id="1026" w:name="Tc_MDvTRdZZ5UOA7z2sUInT2Q_1_2"/>
      <w:bookmarkStart w:id="1027" w:name="Tc_pnHfKCXXlkuFIy5z3mehYg_1_0"/>
      <w:bookmarkStart w:id="1028" w:name="_c372549d_e279_43cb_bb16_182b133f1b6a"/>
      <w:bookmarkStart w:id="1029" w:name="Tc_aHyrvRIiVkSwidzVmLdqHQ_7_2"/>
      <w:bookmarkStart w:id="1030" w:name="Tc_MO97C9AvBEq8mkaPvMJQDg_7_0"/>
      <w:bookmarkStart w:id="1031" w:name="Tc_C2j5YvP4oECy5NiFoYQ7gQ_6_0"/>
      <w:bookmarkStart w:id="1032" w:name="Tc_pow1W74xq0mFgCYNONstQg_5_0"/>
      <w:bookmarkStart w:id="1033" w:name="Tc_L1ffuWrwHkGQDjwaVXtQeA_4_0"/>
      <w:bookmarkStart w:id="1034" w:name="Tc_AyiuiBNG9U282slJmLI51g_3_0"/>
      <w:bookmarkStart w:id="1035" w:name="Tc_pD3H8PY450qpsPZE_jeGaA_2_2"/>
      <w:bookmarkStart w:id="1036" w:name="Tc_er9MfeGl1UqpdKNLL9Wzrw_2_0"/>
      <w:bookmarkStart w:id="1037" w:name="Tc_2Zm1DvFBTk6JZOURGzKN3A_1_0"/>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r>
        <w:rPr>
          <w:rFonts w:ascii="Times New Roman;Times;serif" w:hAnsi="Times New Roman;Times;serif"/>
          <w:b w:val="false"/>
          <w:i w:val="false"/>
          <w:caps w:val="false"/>
          <w:smallCaps w:val="false"/>
          <w:sz w:val="20"/>
        </w:rPr>
        <w:t>3)</w:t>
      </w:r>
      <w:r>
        <w:rPr>
          <w:rFonts w:ascii="Times New Roman;Times;serif" w:hAnsi="Times New Roman;Times;serif"/>
          <w:sz w:val="20"/>
        </w:rPr>
        <w:t xml:space="preserve"> Acquisition of Super International</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April 16, 2026, the Company entered into a Share Transfer Agreement with Leyan Yang, a non-U.S. individual, pursuant to which the Company agreed to acquire from the Transferor 100% of the issued and outstanding shares of Super International, a limited liability company incorporated under the laws of Hong Kong and primarily engaged in the trading of large-scale industrial equipment (the “Super Transaction”).</w:t>
      </w:r>
    </w:p>
    <w:p>
      <w:pPr>
        <w:pStyle w:val="TextBody"/>
        <w:bidi w:val="0"/>
        <w:spacing w:before="0" w:after="240"/>
        <w:ind w:left="0" w:right="0" w:hanging="0"/>
        <w:jc w:val="both"/>
        <w:rPr/>
      </w:pPr>
      <w:r>
        <w:rPr/>
        <w:t>​</w:t>
      </w:r>
    </w:p>
    <w:tbl>
      <w:tblPr>
        <w:tblW w:w="5194" w:type="dxa"/>
        <w:jc w:val="left"/>
        <w:tblInd w:w="0" w:type="dxa"/>
        <w:tblLayout w:type="fixed"/>
        <w:tblCellMar>
          <w:top w:w="0" w:type="dxa"/>
          <w:left w:w="0" w:type="dxa"/>
          <w:bottom w:w="0" w:type="dxa"/>
          <w:right w:w="0" w:type="dxa"/>
        </w:tblCellMar>
      </w:tblPr>
      <w:tblGrid>
        <w:gridCol w:w="3601"/>
        <w:gridCol w:w="346"/>
        <w:gridCol w:w="211"/>
        <w:gridCol w:w="1036"/>
      </w:tblGrid>
      <w:tr>
        <w:trPr/>
        <w:tc>
          <w:tcPr>
            <w:tcW w:w="3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286635" cy="175260"/>
                      <wp:effectExtent l="0" t="0" r="0" b="0"/>
                      <wp:wrapNone/>
                      <wp:docPr id="199" name="Frame199"/>
                      <a:graphic xmlns:a="http://schemas.openxmlformats.org/drawingml/2006/main">
                        <a:graphicData uri="http://schemas.microsoft.com/office/word/2010/wordprocessingShape">
                          <wps:wsp>
                            <wps:cNvSpPr txBox="1"/>
                            <wps:spPr>
                              <a:xfrm>
                                <a:off x="0" y="0"/>
                                <a:ext cx="2286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19710" cy="175260"/>
                      <wp:effectExtent l="0" t="0" r="0" b="0"/>
                      <wp:wrapNone/>
                      <wp:docPr id="200" name="Frame2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33985" cy="175260"/>
                      <wp:effectExtent l="0" t="0" r="0" b="0"/>
                      <wp:wrapNone/>
                      <wp:docPr id="201" name="Frame2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57860" cy="175260"/>
                      <wp:effectExtent l="0" t="0" r="0" b="0"/>
                      <wp:wrapNone/>
                      <wp:docPr id="202" name="Frame20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Acquired assets acquired and (liabilities):</w:t>
            </w:r>
          </w:p>
        </w:tc>
        <w:tc>
          <w:tcPr>
            <w:tcW w:w="346" w:type="dxa"/>
            <w:tcBorders/>
            <w:shd w:fill="CCEEFF" w:val="clear"/>
            <w:vAlign w:val="center"/>
          </w:tcPr>
          <w:p>
            <w:pPr>
              <w:pStyle w:val="TableContents"/>
              <w:bidi w:val="0"/>
              <w:spacing w:before="0" w:after="1"/>
              <w:ind w:left="0" w:right="0" w:hanging="0"/>
              <w:jc w:val="left"/>
              <w:rPr/>
            </w:pPr>
            <w:r>
              <w:rPr/>
              <w:t>  ​ ​ ​</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left"/>
              <w:rPr/>
            </w:pPr>
            <w:r>
              <w:rPr/>
              <w:t>  ​ ​ ​</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5,471</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839,039</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Contingent Consideration Asset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2,783,884</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2,189,792</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(838,187)</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Purchase Consideration</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4,980,000</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the May 27, 2026 acquisition of Super International Trading Limited, the Company holds a contractual right to receive cash compensation from the Seller under the Performance Commitment (“PCP”) if the Target’s revenue falls below the contractual threshold in any of the three annual periods following the closing date. The Company is the recipient under this arrangement, and the right is recognized as a contingent consideration asset.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contingent consideration asset is measured initially at its acquisition-date fair value of $2,783,884. The fair value is determined using a Level 3 measurement within the fair value hierarchy. Key unobservable inputs include projected cash flows of the acquired business over the contingency period, the contractual cap of $4,980,000 (cumulative across the three PCP periods), the probability-weighted distribution of revenue outcomes, and a discount rate that incorporates both the time value of money and counterparty credit risk. Because the counterparty to the PCP is an individual (the Seller), the credit-risk component of the discount rate reflects the Company’s assessment of the risk of recovery.</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remeasures the contingent consideration asset to fair value at each subsequent reporting period, with changes in fair value recognized in earnings in the period of change (ASC 805-30-35-1). No change in fair value has been recognized during the three or six months ended June 30, 2026, as the measurement assumptions have not changed materially since the acquisition date. The Company will continue to monitor the credit risk associated with this receivable each reporting period.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acquisition-date fair value of the contingent consideration asset has been finalized at $2,783,884 on May 27, 2026. The amount is therefore no longer provisional as of June 30, 2026. The one-year measurement period under ASC 805-10-25-13 (which expires May 27, 2027) remains open for retrospective adjustments to other provisional items in the business combination, including working capital and any refinements to the fair value of identifiable tangible assets acquired. Any such adjustments will be recorded with a corresponding adjustment to goodwill (ASC 805-10-25-17).</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recorded amortization of intangible assets with finite lives are computed using the straight-line method over the estimated useful lives as below:</w:t>
      </w:r>
    </w:p>
    <w:p>
      <w:pPr>
        <w:pStyle w:val="TextBody"/>
        <w:bidi w:val="0"/>
        <w:spacing w:before="0" w:after="240"/>
        <w:ind w:left="0" w:right="0" w:hanging="0"/>
        <w:jc w:val="both"/>
        <w:rPr/>
      </w:pPr>
      <w:r>
        <w:rPr/>
        <w:t>​</w:t>
      </w:r>
    </w:p>
    <w:tbl>
      <w:tblPr>
        <w:tblW w:w="5508" w:type="dxa"/>
        <w:jc w:val="left"/>
        <w:tblInd w:w="0" w:type="dxa"/>
        <w:tblLayout w:type="fixed"/>
        <w:tblCellMar>
          <w:top w:w="0" w:type="dxa"/>
          <w:left w:w="0" w:type="dxa"/>
          <w:bottom w:w="0" w:type="dxa"/>
          <w:right w:w="0" w:type="dxa"/>
        </w:tblCellMar>
      </w:tblPr>
      <w:tblGrid>
        <w:gridCol w:w="2746"/>
        <w:gridCol w:w="346"/>
        <w:gridCol w:w="2416"/>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743710" cy="175260"/>
                      <wp:effectExtent l="0" t="0" r="0" b="0"/>
                      <wp:wrapNone/>
                      <wp:docPr id="203" name="Frame203"/>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19710" cy="175260"/>
                      <wp:effectExtent l="0" t="0" r="0" b="0"/>
                      <wp:wrapNone/>
                      <wp:docPr id="204" name="Frame2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534160" cy="175260"/>
                      <wp:effectExtent l="0" t="0" r="0" b="0"/>
                      <wp:wrapNone/>
                      <wp:docPr id="205" name="Frame205"/>
                      <a:graphic xmlns:a="http://schemas.openxmlformats.org/drawingml/2006/main">
                        <a:graphicData uri="http://schemas.microsoft.com/office/word/2010/wordprocessingShape">
                          <wps:wsp>
                            <wps:cNvSpPr txBox="1"/>
                            <wps:spPr>
                              <a:xfrm>
                                <a:off x="0" y="0"/>
                                <a:ext cx="1534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4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Intangible Assets</w:t>
            </w:r>
          </w:p>
        </w:tc>
        <w:tc>
          <w:tcPr>
            <w:tcW w:w="346" w:type="dxa"/>
            <w:tcBorders/>
            <w:vAlign w:val="center"/>
          </w:tcPr>
          <w:p>
            <w:pPr>
              <w:pStyle w:val="TableContents"/>
              <w:bidi w:val="0"/>
              <w:spacing w:before="0" w:after="1"/>
              <w:ind w:left="0" w:right="0" w:hanging="0"/>
              <w:jc w:val="center"/>
              <w:rPr/>
            </w:pPr>
            <w:r>
              <w:rPr/>
              <w:t>  ​ ​ ​</w:t>
            </w:r>
          </w:p>
        </w:tc>
        <w:tc>
          <w:tcPr>
            <w:tcW w:w="24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Estimated Useful Lives (month)</w:t>
            </w:r>
          </w:p>
        </w:tc>
      </w:tr>
      <w:tr>
        <w:trPr/>
        <w:tc>
          <w:tcPr>
            <w:tcW w:w="2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Edward-Developed Technology</w:t>
            </w:r>
          </w:p>
        </w:tc>
        <w:tc>
          <w:tcPr>
            <w:tcW w:w="346" w:type="dxa"/>
            <w:tcBorders/>
            <w:shd w:fill="CCEEFF" w:val="clear"/>
            <w:vAlign w:val="center"/>
          </w:tcPr>
          <w:p>
            <w:pPr>
              <w:pStyle w:val="TableContents"/>
              <w:bidi w:val="0"/>
              <w:spacing w:before="0" w:after="1"/>
              <w:ind w:left="0" w:right="0" w:hanging="0"/>
              <w:jc w:val="left"/>
              <w:rPr/>
            </w:pPr>
            <w:r>
              <w:rPr/>
              <w:t>​</w:t>
            </w:r>
          </w:p>
        </w:tc>
        <w:tc>
          <w:tcPr>
            <w:tcW w:w="24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r>
      <w:tr>
        <w:trPr/>
        <w:tc>
          <w:tcPr>
            <w:tcW w:w="27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Edward-Customer Relationships</w:t>
            </w:r>
          </w:p>
        </w:tc>
        <w:tc>
          <w:tcPr>
            <w:tcW w:w="346" w:type="dxa"/>
            <w:tcBorders/>
            <w:vAlign w:val="center"/>
          </w:tcPr>
          <w:p>
            <w:pPr>
              <w:pStyle w:val="TableContents"/>
              <w:bidi w:val="0"/>
              <w:spacing w:before="0" w:after="1"/>
              <w:ind w:left="0" w:right="0" w:hanging="0"/>
              <w:jc w:val="left"/>
              <w:rPr/>
            </w:pPr>
            <w:r>
              <w:rPr/>
              <w:t>​</w:t>
            </w:r>
          </w:p>
        </w:tc>
        <w:tc>
          <w:tcPr>
            <w:tcW w:w="24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w:t>
            </w:r>
          </w:p>
        </w:tc>
      </w:tr>
      <w:tr>
        <w:trPr/>
        <w:tc>
          <w:tcPr>
            <w:tcW w:w="2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Edward-Trade Names</w:t>
            </w:r>
          </w:p>
        </w:tc>
        <w:tc>
          <w:tcPr>
            <w:tcW w:w="346" w:type="dxa"/>
            <w:tcBorders/>
            <w:shd w:fill="CCEEFF" w:val="clear"/>
            <w:vAlign w:val="center"/>
          </w:tcPr>
          <w:p>
            <w:pPr>
              <w:pStyle w:val="TableContents"/>
              <w:bidi w:val="0"/>
              <w:spacing w:before="0" w:after="1"/>
              <w:ind w:left="0" w:right="0" w:hanging="0"/>
              <w:jc w:val="left"/>
              <w:rPr/>
            </w:pPr>
            <w:r>
              <w:rPr/>
              <w:t>​</w:t>
            </w:r>
          </w:p>
        </w:tc>
        <w:tc>
          <w:tcPr>
            <w:tcW w:w="24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r>
      <w:tr>
        <w:trPr/>
        <w:tc>
          <w:tcPr>
            <w:tcW w:w="27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TWEW-Customer Relationships</w:t>
            </w:r>
          </w:p>
        </w:tc>
        <w:tc>
          <w:tcPr>
            <w:tcW w:w="346" w:type="dxa"/>
            <w:tcBorders/>
            <w:vAlign w:val="center"/>
          </w:tcPr>
          <w:p>
            <w:pPr>
              <w:pStyle w:val="TableContents"/>
              <w:bidi w:val="0"/>
              <w:spacing w:before="0" w:after="1"/>
              <w:ind w:left="0" w:right="0" w:hanging="0"/>
              <w:jc w:val="left"/>
              <w:rPr/>
            </w:pPr>
            <w:r>
              <w:rPr/>
              <w:t>​</w:t>
            </w:r>
          </w:p>
        </w:tc>
        <w:tc>
          <w:tcPr>
            <w:tcW w:w="2416"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120</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the six months ended June 30, 2026 and 2025, the Company incurred accumulated amortization expenses of $38,511 and $56,144, respectively.</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April 1, 2026, the Company completed the disposition of Edward, a wholly owned subsidiary of the Company, pursuant to the Stock Purchase Agreement dated March 25, 2026. Upon completion of the disposition, the Company derecognized the assets and liabilities associated with Edward, including the remaining carrying amounts of the related intangible assets.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1038" w:name="Tc_XwItWN1sh0ibNxS9xXs4GA_6_2"/>
      <w:bookmarkStart w:id="1039" w:name="Tc_GtWya0VASU6StB1LFxGRig_6_0"/>
      <w:bookmarkStart w:id="1040" w:name="Tc_p3QYbljPCkuHrkgcT9nXig_5_0"/>
      <w:bookmarkStart w:id="1041" w:name="Tc_CPbljOJtMEOLHReMUBJzaw_4_0"/>
      <w:bookmarkStart w:id="1042" w:name="Tc_EVNwai991Uedl7CDdUqUuA_3_0"/>
      <w:bookmarkStart w:id="1043" w:name="Tc_0jcpHbJNt0W-QqJ5WNKYHg_2_0"/>
      <w:bookmarkStart w:id="1044" w:name="Tc_w-gpO2N7VEWlW1_nitsM8g_1_0"/>
      <w:bookmarkEnd w:id="1038"/>
      <w:bookmarkEnd w:id="1039"/>
      <w:bookmarkEnd w:id="1040"/>
      <w:bookmarkEnd w:id="1041"/>
      <w:bookmarkEnd w:id="1042"/>
      <w:bookmarkEnd w:id="1043"/>
      <w:bookmarkEnd w:id="1044"/>
      <w:r>
        <w:rPr>
          <w:rFonts w:ascii="Times New Roman;Times;serif" w:hAnsi="Times New Roman;Times;serif"/>
          <w:sz w:val="20"/>
        </w:rPr>
        <w:t>Total future amortization expenses for finite-lived intangible assets were estimated as follows:</w:t>
      </w:r>
    </w:p>
    <w:p>
      <w:pPr>
        <w:pStyle w:val="TextBody"/>
        <w:bidi w:val="0"/>
        <w:spacing w:before="0" w:after="240"/>
        <w:ind w:left="0" w:right="0" w:hanging="0"/>
        <w:jc w:val="both"/>
        <w:rPr/>
      </w:pPr>
      <w:r>
        <w:rPr/>
        <w:t>​</w:t>
      </w:r>
    </w:p>
    <w:tbl>
      <w:tblPr>
        <w:tblW w:w="5404" w:type="dxa"/>
        <w:jc w:val="left"/>
        <w:tblInd w:w="0" w:type="dxa"/>
        <w:tblLayout w:type="fixed"/>
        <w:tblCellMar>
          <w:top w:w="0" w:type="dxa"/>
          <w:left w:w="0" w:type="dxa"/>
          <w:bottom w:w="0" w:type="dxa"/>
          <w:right w:w="0" w:type="dxa"/>
        </w:tblCellMar>
      </w:tblPr>
      <w:tblGrid>
        <w:gridCol w:w="3961"/>
        <w:gridCol w:w="346"/>
        <w:gridCol w:w="211"/>
        <w:gridCol w:w="886"/>
      </w:tblGrid>
      <w:tr>
        <w:trPr/>
        <w:tc>
          <w:tcPr>
            <w:tcW w:w="3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515235" cy="175260"/>
                      <wp:effectExtent l="0" t="0" r="0" b="0"/>
                      <wp:wrapNone/>
                      <wp:docPr id="206" name="Frame206"/>
                      <a:graphic xmlns:a="http://schemas.openxmlformats.org/drawingml/2006/main">
                        <a:graphicData uri="http://schemas.microsoft.com/office/word/2010/wordprocessingShape">
                          <wps:wsp>
                            <wps:cNvSpPr txBox="1"/>
                            <wps:spPr>
                              <a:xfrm>
                                <a:off x="0" y="0"/>
                                <a:ext cx="2515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19710" cy="175260"/>
                      <wp:effectExtent l="0" t="0" r="0" b="0"/>
                      <wp:wrapNone/>
                      <wp:docPr id="207" name="Frame2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33985" cy="175260"/>
                      <wp:effectExtent l="0" t="0" r="0" b="0"/>
                      <wp:wrapNone/>
                      <wp:docPr id="208" name="Frame2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562610" cy="175260"/>
                      <wp:effectExtent l="0" t="0" r="0" b="0"/>
                      <wp:wrapNone/>
                      <wp:docPr id="209" name="Frame20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 (from July 1, 2026 to December 31, 2026)</w:t>
            </w:r>
          </w:p>
        </w:tc>
        <w:tc>
          <w:tcPr>
            <w:tcW w:w="346" w:type="dxa"/>
            <w:tcBorders/>
            <w:shd w:fill="CCEEFF" w:val="clear"/>
            <w:vAlign w:val="center"/>
          </w:tcPr>
          <w:p>
            <w:pPr>
              <w:pStyle w:val="TableContents"/>
              <w:bidi w:val="0"/>
              <w:spacing w:before="0" w:after="1"/>
              <w:ind w:left="0" w:right="0" w:hanging="0"/>
              <w:jc w:val="center"/>
              <w:rPr/>
            </w:pPr>
            <w:r>
              <w:rPr/>
              <w:t>  ​ ​ ​</w:t>
            </w:r>
          </w:p>
        </w:tc>
        <w:tc>
          <w:tcPr>
            <w:tcW w:w="211" w:type="dxa"/>
            <w:tcBorders/>
            <w:shd w:fill="CCEEFF" w:val="clear"/>
            <w:vAlign w:val="center"/>
          </w:tcPr>
          <w:p>
            <w:pPr>
              <w:pStyle w:val="TableContents"/>
              <w:bidi w:val="0"/>
              <w:spacing w:before="0" w:after="1"/>
              <w:ind w:left="0" w:right="0" w:hanging="0"/>
              <w:jc w:val="center"/>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30,000 </w:t>
            </w:r>
          </w:p>
        </w:tc>
      </w:tr>
      <w:tr>
        <w:trPr/>
        <w:tc>
          <w:tcPr>
            <w:tcW w:w="39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60,000</w:t>
            </w:r>
          </w:p>
        </w:tc>
      </w:tr>
      <w:tr>
        <w:trPr/>
        <w:tc>
          <w:tcPr>
            <w:tcW w:w="39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60,000</w:t>
            </w:r>
          </w:p>
        </w:tc>
      </w:tr>
      <w:tr>
        <w:trPr/>
        <w:tc>
          <w:tcPr>
            <w:tcW w:w="39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60,000</w:t>
            </w:r>
          </w:p>
        </w:tc>
      </w:tr>
      <w:tr>
        <w:trPr/>
        <w:tc>
          <w:tcPr>
            <w:tcW w:w="39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295,000</w:t>
            </w:r>
          </w:p>
        </w:tc>
      </w:tr>
      <w:tr>
        <w:trPr/>
        <w:tc>
          <w:tcPr>
            <w:tcW w:w="39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505,000</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bookmarkStart w:id="1045" w:name="Tc_LpxIY0edDUiEj-6NQjvTIA_3_5"/>
      <w:bookmarkStart w:id="1046" w:name="Tc_IlcqHH7BVUCnA4ttqh2sWg_3_3"/>
      <w:bookmarkStart w:id="1047" w:name="Tc_6egcF8UHOUeRPoPj1-xypw_3_2"/>
      <w:bookmarkStart w:id="1048" w:name="Tc__t56hx8gkEWU4Pm8ADpfEA_3_0"/>
      <w:bookmarkStart w:id="1049" w:name="Tc_jeU2GGzlz0-V3puspis4tQ_2_5"/>
      <w:bookmarkStart w:id="1050" w:name="Tc_EbJFGNAv6U2YUHEMnjg1iA_2_2"/>
      <w:bookmarkStart w:id="1051" w:name="Tc_EMuHuZNPHkyQJM69gtvFOQ_1_5"/>
      <w:bookmarkStart w:id="1052" w:name="Tc_EKbA2V1_akqyYkkC6Rdfvw_1_2"/>
      <w:bookmarkEnd w:id="1045"/>
      <w:bookmarkEnd w:id="1046"/>
      <w:bookmarkEnd w:id="1047"/>
      <w:bookmarkEnd w:id="1048"/>
      <w:bookmarkEnd w:id="1049"/>
      <w:bookmarkEnd w:id="1050"/>
      <w:bookmarkEnd w:id="1051"/>
      <w:bookmarkEnd w:id="1052"/>
      <w:r>
        <w:rPr>
          <w:rFonts w:ascii="Times New Roman;Times;serif" w:hAnsi="Times New Roman;Times;serif"/>
          <w:b/>
          <w:sz w:val="20"/>
        </w:rPr>
        <w:t>NOTE 10 — PREMIUM FINANCE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August 1, 2024, the Company entered into a premium finance agreement (the “Premium Finance Agreement”) with ETI Financial Corporation to finance the purchase of its directors and officers’ insurance. Pursuant to the Premium Finance Agreement, the Company borrowed $205,774.80 at an annual interest rate of 8.51%. The loan is structured to be repaid in 10 monthly installments, starting with the first payment on September 1, 2024. The loan was paid off on June 2,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August 1, 2025, the Company renewed the Premium Finance Agreement with ETI Financial Corporation to finance the purchase of its directors’ and officers’ insurance for the new policy term. Under the renewed agreement, the Company borrowed $151,421.49 at an annual interest rate of 7.10%. The financing is scheduled to be repaid in nine-month installments, beginning on September 1, 2025. As of the date of this report, the Company is in compliance with all payment terms under the renewed agreement.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Premium finance consisted of the following:</w:t>
      </w:r>
    </w:p>
    <w:p>
      <w:pPr>
        <w:pStyle w:val="TextBody"/>
        <w:bidi w:val="0"/>
        <w:spacing w:before="0" w:after="0"/>
        <w:ind w:left="0" w:right="0" w:hanging="0"/>
        <w:jc w:val="both"/>
        <w:rPr/>
      </w:pPr>
      <w:r>
        <w:rPr/>
        <w:t>​</w:t>
      </w:r>
    </w:p>
    <w:tbl>
      <w:tblPr>
        <w:tblW w:w="4083" w:type="dxa"/>
        <w:jc w:val="left"/>
        <w:tblInd w:w="0" w:type="dxa"/>
        <w:tblLayout w:type="fixed"/>
        <w:tblCellMar>
          <w:top w:w="0" w:type="dxa"/>
          <w:left w:w="0" w:type="dxa"/>
          <w:bottom w:w="0" w:type="dxa"/>
          <w:right w:w="0" w:type="dxa"/>
        </w:tblCellMar>
      </w:tblPr>
      <w:tblGrid>
        <w:gridCol w:w="1486"/>
        <w:gridCol w:w="346"/>
        <w:gridCol w:w="290"/>
        <w:gridCol w:w="475"/>
        <w:gridCol w:w="346"/>
        <w:gridCol w:w="242"/>
        <w:gridCol w:w="898"/>
      </w:tblGrid>
      <w:tr>
        <w:trPr/>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943610" cy="175260"/>
                      <wp:effectExtent l="0" t="0" r="0" b="0"/>
                      <wp:wrapNone/>
                      <wp:docPr id="210" name="Frame210"/>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19710" cy="175260"/>
                      <wp:effectExtent l="0" t="0" r="0" b="0"/>
                      <wp:wrapNone/>
                      <wp:docPr id="211" name="Frame2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84150" cy="175260"/>
                      <wp:effectExtent l="0" t="0" r="0" b="0"/>
                      <wp:wrapNone/>
                      <wp:docPr id="212" name="Frame212"/>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301625" cy="175260"/>
                      <wp:effectExtent l="0" t="0" r="0" b="0"/>
                      <wp:wrapNone/>
                      <wp:docPr id="213" name="Frame213"/>
                      <a:graphic xmlns:a="http://schemas.openxmlformats.org/drawingml/2006/main">
                        <a:graphicData uri="http://schemas.microsoft.com/office/word/2010/wordprocessingShape">
                          <wps:wsp>
                            <wps:cNvSpPr txBox="1"/>
                            <wps:spPr>
                              <a:xfrm>
                                <a:off x="0" y="0"/>
                                <a:ext cx="301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19710" cy="175260"/>
                      <wp:effectExtent l="0" t="0" r="0" b="0"/>
                      <wp:wrapNone/>
                      <wp:docPr id="214" name="Frame2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53670" cy="175260"/>
                      <wp:effectExtent l="0" t="0" r="0" b="0"/>
                      <wp:wrapNone/>
                      <wp:docPr id="215" name="Frame215"/>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570230" cy="175260"/>
                      <wp:effectExtent l="0" t="0" r="0" b="0"/>
                      <wp:wrapNone/>
                      <wp:docPr id="216" name="Frame216"/>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6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  ​ ​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14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4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Premium finance</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82,650</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Interest expenses incurred related to the Premium Finance Agreement were $1,473 and $3,004 for the six months ended June 30, 2026 and 2025, respectively. As of June 30, 2026 and 2025, the balance of premium finance was $nil and $82,650, respectively.</w:t>
      </w:r>
    </w:p>
    <w:p>
      <w:pPr>
        <w:pStyle w:val="TextBody"/>
        <w:bidi w:val="0"/>
        <w:spacing w:before="0" w:after="240"/>
        <w:ind w:left="0" w:right="0" w:hanging="0"/>
        <w:jc w:val="both"/>
        <w:rPr>
          <w:rFonts w:ascii="Times New Roman;Times;serif" w:hAnsi="Times New Roman;Times;serif"/>
          <w:b/>
          <w:sz w:val="20"/>
        </w:rPr>
      </w:pPr>
      <w:bookmarkStart w:id="1053" w:name="Tc_InJMZ7U0eEGvIhByxebDhg_9_5"/>
      <w:bookmarkStart w:id="1054" w:name="Tc_5tuL0r55I0SUNQDCt5fo3Q_9_2"/>
      <w:bookmarkStart w:id="1055" w:name="Tc_cjGa1K9GV0-VTkKmG-hWBA_9_0"/>
      <w:bookmarkStart w:id="1056" w:name="Tc_SkzqxDhYl0261ABRe6zOwA_7_5"/>
      <w:bookmarkStart w:id="1057" w:name="Tc_LNvAxyPVwk6EkrPjWuKRDA_7_2"/>
      <w:bookmarkStart w:id="1058" w:name="Tc_sAGu5_lLSEGEwjz_lc7aJQ_7_0"/>
      <w:bookmarkStart w:id="1059" w:name="Tc_PVb5v-PTbUeOZ3O_8NrxMQ_5_5"/>
      <w:bookmarkStart w:id="1060" w:name="Tc_tzgALgYEy0mbex9l3EpeaQ_5_2"/>
      <w:bookmarkStart w:id="1061" w:name="Tc_hPwVbvly4US9plWVQy1Kkw_5_0"/>
      <w:bookmarkStart w:id="1062" w:name="Tc_GLwR8Nv1Qkaf1ry-9kXYWg_4_0"/>
      <w:bookmarkStart w:id="1063" w:name="Tc_fiosvmZ6lUesDuAVw7EuWw_3_5"/>
      <w:bookmarkStart w:id="1064" w:name="Tc_eVt1dhz3NEqIAfcyjJ5mQQ_3_2"/>
      <w:bookmarkStart w:id="1065" w:name="Tc_zgK1OkEu0ka5QBh3y5gypQ_3_0"/>
      <w:bookmarkStart w:id="1066" w:name="Tc_DBpkafD250ejfzeCtskDnQ_2_5"/>
      <w:bookmarkStart w:id="1067" w:name="Tc__uppgVC6J0WJ-AIkoP_GHQ_2_2"/>
      <w:bookmarkStart w:id="1068" w:name="Tc_9r9cdi4U3kaDFa5uLzDA1w_1_5"/>
      <w:bookmarkStart w:id="1069" w:name="Tc_IvBJ4HiVhE2q784BtAmD3Q_1_2"/>
      <w:bookmarkStart w:id="1070" w:name="_0afd1a40_7dbc_4496_bcb7_6f46863fc349"/>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r>
        <w:rPr>
          <w:rFonts w:ascii="Times New Roman;Times;serif" w:hAnsi="Times New Roman;Times;serif"/>
          <w:b/>
          <w:sz w:val="20"/>
        </w:rPr>
        <w:t>NOTE 11 — LONGTERM BORROWINGS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Long-term borrowings consisted of the following:</w:t>
      </w:r>
    </w:p>
    <w:p>
      <w:pPr>
        <w:pStyle w:val="TextBody"/>
        <w:bidi w:val="0"/>
        <w:spacing w:before="0" w:after="240"/>
        <w:ind w:left="0" w:right="0" w:hanging="0"/>
        <w:jc w:val="both"/>
        <w:rPr/>
      </w:pPr>
      <w:r>
        <w:rPr/>
        <w:t>​</w:t>
      </w:r>
    </w:p>
    <w:tbl>
      <w:tblPr>
        <w:tblW w:w="6620" w:type="dxa"/>
        <w:jc w:val="left"/>
        <w:tblInd w:w="0" w:type="dxa"/>
        <w:tblLayout w:type="fixed"/>
        <w:tblCellMar>
          <w:top w:w="0" w:type="dxa"/>
          <w:left w:w="0" w:type="dxa"/>
          <w:bottom w:w="0" w:type="dxa"/>
          <w:right w:w="0" w:type="dxa"/>
        </w:tblCellMar>
      </w:tblPr>
      <w:tblGrid>
        <w:gridCol w:w="3751"/>
        <w:gridCol w:w="346"/>
        <w:gridCol w:w="211"/>
        <w:gridCol w:w="781"/>
        <w:gridCol w:w="346"/>
        <w:gridCol w:w="228"/>
        <w:gridCol w:w="957"/>
      </w:tblGrid>
      <w:tr>
        <w:trPr/>
        <w:tc>
          <w:tcPr>
            <w:tcW w:w="3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381885" cy="175260"/>
                      <wp:effectExtent l="0" t="0" r="0" b="0"/>
                      <wp:wrapNone/>
                      <wp:docPr id="217" name="Frame217"/>
                      <a:graphic xmlns:a="http://schemas.openxmlformats.org/drawingml/2006/main">
                        <a:graphicData uri="http://schemas.microsoft.com/office/word/2010/wordprocessingShape">
                          <wps:wsp>
                            <wps:cNvSpPr txBox="1"/>
                            <wps:spPr>
                              <a:xfrm>
                                <a:off x="0" y="0"/>
                                <a:ext cx="2381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19710" cy="175260"/>
                      <wp:effectExtent l="0" t="0" r="0" b="0"/>
                      <wp:wrapNone/>
                      <wp:docPr id="218" name="Frame2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33985" cy="175260"/>
                      <wp:effectExtent l="0" t="0" r="0" b="0"/>
                      <wp:wrapNone/>
                      <wp:docPr id="219" name="Frame2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495935" cy="175260"/>
                      <wp:effectExtent l="0" t="0" r="0" b="0"/>
                      <wp:wrapNone/>
                      <wp:docPr id="220" name="Frame22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19710" cy="175260"/>
                      <wp:effectExtent l="0" t="0" r="0" b="0"/>
                      <wp:wrapNone/>
                      <wp:docPr id="221" name="Frame2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44780" cy="175260"/>
                      <wp:effectExtent l="0" t="0" r="0" b="0"/>
                      <wp:wrapNone/>
                      <wp:docPr id="222" name="Frame222"/>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07695" cy="175260"/>
                      <wp:effectExtent l="0" t="0" r="0" b="0"/>
                      <wp:wrapNone/>
                      <wp:docPr id="223" name="Frame223"/>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7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75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Small Business Administration</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449,632</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456,063</w:t>
            </w:r>
          </w:p>
        </w:tc>
      </w:tr>
      <w:tr>
        <w:trPr/>
        <w:tc>
          <w:tcPr>
            <w:tcW w:w="375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Thread Capital Inc.</w:t>
            </w:r>
            <w:r>
              <w:rPr>
                <w:rFonts w:ascii="Times New Roman;Times;serif" w:hAnsi="Times New Roman;Times;serif"/>
                <w:sz w:val="15"/>
              </w:rPr>
              <w:t>(2)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140,217</w:t>
            </w:r>
          </w:p>
        </w:tc>
        <w:tc>
          <w:tcPr>
            <w:tcW w:w="346"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152,492</w:t>
            </w:r>
          </w:p>
        </w:tc>
      </w:tr>
      <w:tr>
        <w:trPr/>
        <w:tc>
          <w:tcPr>
            <w:tcW w:w="37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long-term borrowings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589,849</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608,555</w:t>
            </w:r>
          </w:p>
        </w:tc>
      </w:tr>
      <w:tr>
        <w:trPr/>
        <w:tc>
          <w:tcPr>
            <w:tcW w:w="37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957" w:type="dxa"/>
            <w:tcBorders/>
            <w:vAlign w:val="center"/>
          </w:tcPr>
          <w:p>
            <w:pPr>
              <w:pStyle w:val="TableContents"/>
              <w:bidi w:val="0"/>
              <w:spacing w:before="0" w:after="1"/>
              <w:ind w:left="0" w:right="0" w:hanging="0"/>
              <w:jc w:val="right"/>
              <w:rPr/>
            </w:pPr>
            <w:r>
              <w:rPr/>
              <w:t>​</w:t>
            </w:r>
          </w:p>
        </w:tc>
      </w:tr>
      <w:tr>
        <w:trPr/>
        <w:tc>
          <w:tcPr>
            <w:tcW w:w="37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portion of long-term borrowings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37,279</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35,902</w:t>
            </w:r>
          </w:p>
        </w:tc>
      </w:tr>
      <w:tr>
        <w:trPr/>
        <w:tc>
          <w:tcPr>
            <w:tcW w:w="37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957" w:type="dxa"/>
            <w:tcBorders/>
            <w:vAlign w:val="center"/>
          </w:tcPr>
          <w:p>
            <w:pPr>
              <w:pStyle w:val="TableContents"/>
              <w:bidi w:val="0"/>
              <w:spacing w:before="0" w:after="1"/>
              <w:ind w:left="0" w:right="0" w:hanging="0"/>
              <w:jc w:val="right"/>
              <w:rPr/>
            </w:pPr>
            <w:r>
              <w:rPr/>
              <w:t>​</w:t>
            </w:r>
          </w:p>
        </w:tc>
      </w:tr>
      <w:tr>
        <w:trPr/>
        <w:tc>
          <w:tcPr>
            <w:tcW w:w="37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Non-current portion of long-term borrowings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552,570</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572,653</w:t>
            </w:r>
          </w:p>
        </w:tc>
      </w:tr>
    </w:tbl>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1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On May 24, 2020, the Company entered into a loan agreement with the U.S. Small Business Administration (the “SBA”), an agency of the U.S. Government, to borrow $150,000</w:t>
            </w:r>
            <w:r>
              <w:rPr>
                <w:caps w:val="false"/>
                <w:smallCaps w:val="false"/>
              </w:rPr>
              <w:t xml:space="preserve"> </w:t>
            </w:r>
            <w:r>
              <w:rPr>
                <w:rFonts w:ascii="Times New Roman;Times;serif" w:hAnsi="Times New Roman;Times;serif"/>
                <w:b w:val="false"/>
                <w:i w:val="false"/>
                <w:caps w:val="false"/>
                <w:smallCaps w:val="false"/>
                <w:sz w:val="20"/>
              </w:rPr>
              <w:t>for 30 years, with a maturity date of May 23, 2050. Under the terms of the SBA loan, the loan proceeds are used as working capital to alleviate economic injury caused by the COVID-19 pandemic. The loan bears a fixed interest rate of 3.75%</w:t>
            </w:r>
            <w:r>
              <w:rPr>
                <w:caps w:val="false"/>
                <w:smallCaps w:val="false"/>
              </w:rPr>
              <w:t xml:space="preserve"> </w:t>
            </w:r>
            <w:r>
              <w:rPr>
                <w:rFonts w:ascii="Times New Roman;Times;serif" w:hAnsi="Times New Roman;Times;serif"/>
                <w:b w:val="false"/>
                <w:i w:val="false"/>
                <w:caps w:val="false"/>
                <w:smallCaps w:val="false"/>
                <w:sz w:val="20"/>
              </w:rPr>
              <w:t>per annum. Beginning 12 months</w:t>
            </w:r>
            <w:r>
              <w:rPr>
                <w:caps w:val="false"/>
                <w:smallCaps w:val="false"/>
              </w:rPr>
              <w:t xml:space="preserve"> </w:t>
            </w:r>
            <w:r>
              <w:rPr>
                <w:rFonts w:ascii="Times New Roman;Times;serif" w:hAnsi="Times New Roman;Times;serif"/>
                <w:b w:val="false"/>
                <w:i w:val="false"/>
                <w:caps w:val="false"/>
                <w:smallCaps w:val="false"/>
                <w:sz w:val="20"/>
              </w:rPr>
              <w:t>from the date of this loan agreement, the Company is required to make a monthly installment payment of $731</w:t>
            </w:r>
            <w:r>
              <w:rPr>
                <w:caps w:val="false"/>
                <w:smallCaps w:val="false"/>
              </w:rPr>
              <w:t xml:space="preserve"> </w:t>
            </w:r>
            <w:r>
              <w:rPr>
                <w:rFonts w:ascii="Times New Roman;Times;serif" w:hAnsi="Times New Roman;Times;serif"/>
                <w:b w:val="false"/>
                <w:i w:val="false"/>
                <w:caps w:val="false"/>
                <w:smallCaps w:val="false"/>
                <w:sz w:val="20"/>
              </w:rPr>
              <w:t>within the term of loan, with the last installment to be paid in May 2050. On March 16, 2022, the Company entered into an amended agreement with SBA to borrow an additional $350,000</w:t>
            </w:r>
            <w:r>
              <w:rPr>
                <w:caps w:val="false"/>
                <w:smallCaps w:val="false"/>
              </w:rPr>
              <w:t xml:space="preserve"> </w:t>
            </w:r>
            <w:r>
              <w:rPr>
                <w:rFonts w:ascii="Times New Roman;Times;serif" w:hAnsi="Times New Roman;Times;serif"/>
                <w:b w:val="false"/>
                <w:i w:val="false"/>
                <w:caps w:val="false"/>
                <w:smallCaps w:val="false"/>
                <w:sz w:val="20"/>
              </w:rPr>
              <w:t>for 30 years</w:t>
            </w:r>
            <w:r>
              <w:rPr>
                <w:caps w:val="false"/>
                <w:smallCaps w:val="false"/>
              </w:rPr>
              <w:t xml:space="preserve"> </w:t>
            </w:r>
            <w:r>
              <w:rPr>
                <w:rFonts w:ascii="Times New Roman;Times;serif" w:hAnsi="Times New Roman;Times;serif"/>
                <w:b w:val="false"/>
                <w:i w:val="false"/>
                <w:caps w:val="false"/>
                <w:smallCaps w:val="false"/>
                <w:sz w:val="20"/>
              </w:rPr>
              <w:t>as working capital to alleviate economic injury caused by the COVID-19 pandemic. In the aggregate, the Company’s borrowings amounted to $500,000</w:t>
            </w:r>
            <w:r>
              <w:rPr>
                <w:caps w:val="false"/>
                <w:smallCaps w:val="false"/>
              </w:rPr>
              <w:t xml:space="preserve"> </w:t>
            </w:r>
            <w:r>
              <w:rPr>
                <w:rFonts w:ascii="Times New Roman;Times;serif" w:hAnsi="Times New Roman;Times;serif"/>
                <w:b w:val="false"/>
                <w:i w:val="false"/>
                <w:caps w:val="false"/>
                <w:smallCaps w:val="false"/>
                <w:sz w:val="20"/>
              </w:rPr>
              <w:t>with a maturity date of May 23, 2050. The amended loan bears a fixed interest rate of 3.75%</w:t>
            </w:r>
            <w:r>
              <w:rPr>
                <w:caps w:val="false"/>
                <w:smallCaps w:val="false"/>
              </w:rPr>
              <w:t xml:space="preserve"> </w:t>
            </w:r>
            <w:r>
              <w:rPr>
                <w:rFonts w:ascii="Times New Roman;Times;serif" w:hAnsi="Times New Roman;Times;serif"/>
                <w:b w:val="false"/>
                <w:i w:val="false"/>
                <w:caps w:val="false"/>
                <w:smallCaps w:val="false"/>
                <w:sz w:val="20"/>
              </w:rPr>
              <w:t>per annum. Beginning from March 2022, 24 months</w:t>
            </w:r>
            <w:r>
              <w:rPr>
                <w:caps w:val="false"/>
                <w:smallCaps w:val="false"/>
              </w:rPr>
              <w:t xml:space="preserve"> </w:t>
            </w:r>
            <w:r>
              <w:rPr>
                <w:rFonts w:ascii="Times New Roman;Times;serif" w:hAnsi="Times New Roman;Times;serif"/>
                <w:b w:val="false"/>
                <w:i w:val="false"/>
                <w:caps w:val="false"/>
                <w:smallCaps w:val="false"/>
                <w:sz w:val="20"/>
              </w:rPr>
              <w:t>from the date of the original loan agreement, the Company is required to make a new monthly installment payment of $2,485</w:t>
            </w:r>
            <w:r>
              <w:rPr>
                <w:caps w:val="false"/>
                <w:smallCaps w:val="false"/>
              </w:rPr>
              <w:t xml:space="preserve"> </w:t>
            </w:r>
            <w:r>
              <w:rPr>
                <w:rFonts w:ascii="Times New Roman;Times;serif" w:hAnsi="Times New Roman;Times;serif"/>
                <w:b w:val="false"/>
                <w:i w:val="false"/>
                <w:caps w:val="false"/>
                <w:smallCaps w:val="false"/>
                <w:sz w:val="20"/>
              </w:rPr>
              <w:t>within the remaining term of loan, with the last installment to be paid in May 2050.</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1071" w:name="Tc_L6vcAZ4sxEaKcZWiZxz9sg_7_2"/>
      <w:bookmarkStart w:id="1072" w:name="Tc_aEwaI-Oyj0msi2rVFfLUJQ_7_0"/>
      <w:bookmarkStart w:id="1073" w:name="Tc_Q0SkSqO0V0WG6MmH-9uhYg_6_0"/>
      <w:bookmarkStart w:id="1074" w:name="Tc_tKLdFT_AlUOMkqTATm2_EQ_5_0"/>
      <w:bookmarkStart w:id="1075" w:name="Tc_wbygvtVgekCp0RTUyH1N8Q_4_0"/>
      <w:bookmarkStart w:id="1076" w:name="Tc_k_Rmbt6dL0qL6xxCQkYx1g_3_0"/>
      <w:bookmarkStart w:id="1077" w:name="Tc_hKWEt3_Tb0iPhjd48Valeg_2_0"/>
      <w:bookmarkStart w:id="1078" w:name="Tc_sqSmbFstPkGkbsnfDEiEPg_1_2"/>
      <w:bookmarkStart w:id="1079" w:name="Tc_5kYQRcpoWku5q-vC7LKA_w_1_0"/>
      <w:bookmarkStart w:id="1080" w:name="_aace67f9_3df1_48b8_abbb_4e2526839591"/>
      <w:bookmarkStart w:id="1081" w:name="_47b6fe6c_231d_4e24_8ba4_c709a39a89fc"/>
      <w:bookmarkStart w:id="1082" w:name="Tc_OzOcIxHd9E2iDfN0hlSU_w_7_2"/>
      <w:bookmarkStart w:id="1083" w:name="Tc_iRnuYmnjAEKfJgcnNn8AQw_7_0"/>
      <w:bookmarkStart w:id="1084" w:name="Tc_XoQIWTL3bkim_b0HFGjBXg_6_0"/>
      <w:bookmarkStart w:id="1085" w:name="Tc_MdDUK5t81E-uG0-CTrZ-Nw_5_0"/>
      <w:bookmarkStart w:id="1086" w:name="Tc_Ab6MZueWDUmWMI40THai0Q_4_0"/>
      <w:bookmarkStart w:id="1087" w:name="Tc_zvOUyEjMhE2S7YPqUL1Txw_3_0"/>
      <w:bookmarkStart w:id="1088" w:name="Tc_zzK4Sou0_0K7izEJO6g3qg_2_0"/>
      <w:bookmarkStart w:id="1089" w:name="Tc_kCQQtTeCDkq9vHY67yHncA_1_2"/>
      <w:bookmarkStart w:id="1090" w:name="Tc_M1ikjhya0EWsBp3J1e9VSg_1_0"/>
      <w:bookmarkStart w:id="1091" w:name="_2dba51ff_2777_44fe_8dc5_d178b69a41e6"/>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r>
        <w:rPr>
          <w:rFonts w:ascii="Times New Roman;Times;serif" w:hAnsi="Times New Roman;Times;serif"/>
          <w:sz w:val="20"/>
        </w:rPr>
        <w:t>The future maturities of the SBA loan as of June 30, 2026 were as follows:</w:t>
      </w:r>
    </w:p>
    <w:p>
      <w:pPr>
        <w:pStyle w:val="TextBody"/>
        <w:bidi w:val="0"/>
        <w:spacing w:before="0" w:after="240"/>
        <w:ind w:left="0" w:right="0" w:hanging="0"/>
        <w:jc w:val="both"/>
        <w:rPr/>
      </w:pPr>
      <w:r>
        <w:rPr/>
        <w:t>​</w:t>
      </w:r>
    </w:p>
    <w:tbl>
      <w:tblPr>
        <w:tblW w:w="5778" w:type="dxa"/>
        <w:jc w:val="left"/>
        <w:tblInd w:w="0" w:type="dxa"/>
        <w:tblLayout w:type="fixed"/>
        <w:tblCellMar>
          <w:top w:w="0" w:type="dxa"/>
          <w:left w:w="0" w:type="dxa"/>
          <w:bottom w:w="0" w:type="dxa"/>
          <w:right w:w="0" w:type="dxa"/>
        </w:tblCellMar>
      </w:tblPr>
      <w:tblGrid>
        <w:gridCol w:w="3961"/>
        <w:gridCol w:w="346"/>
        <w:gridCol w:w="282"/>
        <w:gridCol w:w="1189"/>
      </w:tblGrid>
      <w:tr>
        <w:trPr/>
        <w:tc>
          <w:tcPr>
            <w:tcW w:w="3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515235" cy="175260"/>
                      <wp:effectExtent l="0" t="0" r="0" b="0"/>
                      <wp:wrapNone/>
                      <wp:docPr id="224" name="Frame224"/>
                      <a:graphic xmlns:a="http://schemas.openxmlformats.org/drawingml/2006/main">
                        <a:graphicData uri="http://schemas.microsoft.com/office/word/2010/wordprocessingShape">
                          <wps:wsp>
                            <wps:cNvSpPr txBox="1"/>
                            <wps:spPr>
                              <a:xfrm>
                                <a:off x="0" y="0"/>
                                <a:ext cx="2515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19710" cy="175260"/>
                      <wp:effectExtent l="0" t="0" r="0" b="0"/>
                      <wp:wrapNone/>
                      <wp:docPr id="225" name="Frame2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79070" cy="175260"/>
                      <wp:effectExtent l="0" t="0" r="0" b="0"/>
                      <wp:wrapNone/>
                      <wp:docPr id="226" name="Frame226"/>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755015" cy="175260"/>
                      <wp:effectExtent l="0" t="0" r="0" b="0"/>
                      <wp:wrapNone/>
                      <wp:docPr id="227" name="Frame227"/>
                      <a:graphic xmlns:a="http://schemas.openxmlformats.org/drawingml/2006/main">
                        <a:graphicData uri="http://schemas.microsoft.com/office/word/2010/wordprocessingShape">
                          <wps:wsp>
                            <wps:cNvSpPr txBox="1"/>
                            <wps:spPr>
                              <a:xfrm>
                                <a:off x="0" y="0"/>
                                <a:ext cx="7550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6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Fiscal Years</w:t>
            </w:r>
          </w:p>
        </w:tc>
        <w:tc>
          <w:tcPr>
            <w:tcW w:w="346" w:type="dxa"/>
            <w:tcBorders/>
            <w:vAlign w:val="center"/>
          </w:tcPr>
          <w:p>
            <w:pPr>
              <w:pStyle w:val="TableContents"/>
              <w:bidi w:val="0"/>
              <w:spacing w:before="0" w:after="1"/>
              <w:ind w:left="0" w:right="0" w:hanging="0"/>
              <w:jc w:val="center"/>
              <w:rPr/>
            </w:pPr>
            <w:r>
              <w:rPr/>
              <w:t>  ​ ​ ​</w:t>
            </w:r>
          </w:p>
        </w:tc>
        <w:tc>
          <w:tcPr>
            <w:tcW w:w="14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Future repayment</w:t>
            </w:r>
          </w:p>
        </w:tc>
      </w:tr>
      <w:tr>
        <w:trPr/>
        <w:tc>
          <w:tcPr>
            <w:tcW w:w="39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 (from July 1, 2026 to December 31, 2026)</w:t>
            </w:r>
          </w:p>
        </w:tc>
        <w:tc>
          <w:tcPr>
            <w:tcW w:w="346" w:type="dxa"/>
            <w:tcBorders/>
            <w:shd w:fill="CCEEFF" w:val="clear"/>
            <w:vAlign w:val="center"/>
          </w:tcPr>
          <w:p>
            <w:pPr>
              <w:pStyle w:val="TableContents"/>
              <w:bidi w:val="0"/>
              <w:spacing w:before="0" w:after="1"/>
              <w:ind w:left="0" w:right="0" w:hanging="0"/>
              <w:jc w:val="left"/>
              <w:rPr/>
            </w:pPr>
            <w:r>
              <w:rPr/>
              <w:t>​</w:t>
            </w:r>
          </w:p>
        </w:tc>
        <w:tc>
          <w:tcPr>
            <w:tcW w:w="282" w:type="dxa"/>
            <w:tcBorders/>
            <w:shd w:fill="CCEEFF" w:val="clear"/>
            <w:vAlign w:val="center"/>
          </w:tcPr>
          <w:p>
            <w:pPr>
              <w:pStyle w:val="TableContents"/>
              <w:bidi w:val="0"/>
              <w:spacing w:before="0" w:after="1"/>
              <w:ind w:left="0" w:right="0" w:hanging="0"/>
              <w:jc w:val="left"/>
              <w:rPr/>
            </w:pPr>
            <w:r>
              <w:rPr/>
              <w:t>​</w:t>
            </w:r>
          </w:p>
        </w:tc>
        <w:tc>
          <w:tcPr>
            <w:tcW w:w="11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5,794</w:t>
            </w:r>
          </w:p>
        </w:tc>
      </w:tr>
      <w:tr>
        <w:trPr/>
        <w:tc>
          <w:tcPr>
            <w:tcW w:w="39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1"/>
              <w:ind w:left="0" w:right="0" w:hanging="0"/>
              <w:jc w:val="left"/>
              <w:rPr/>
            </w:pPr>
            <w:r>
              <w:rPr/>
              <w:t>​</w:t>
            </w:r>
          </w:p>
        </w:tc>
        <w:tc>
          <w:tcPr>
            <w:tcW w:w="282" w:type="dxa"/>
            <w:tcBorders/>
            <w:vAlign w:val="center"/>
          </w:tcPr>
          <w:p>
            <w:pPr>
              <w:pStyle w:val="TableContents"/>
              <w:bidi w:val="0"/>
              <w:spacing w:before="0" w:after="1"/>
              <w:ind w:left="0" w:right="0" w:hanging="0"/>
              <w:jc w:val="left"/>
              <w:rPr/>
            </w:pPr>
            <w:r>
              <w:rPr/>
              <w:t>​</w:t>
            </w:r>
          </w:p>
        </w:tc>
        <w:tc>
          <w:tcPr>
            <w:tcW w:w="11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11,942</w:t>
            </w:r>
          </w:p>
        </w:tc>
      </w:tr>
      <w:tr>
        <w:trPr/>
        <w:tc>
          <w:tcPr>
            <w:tcW w:w="39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1"/>
              <w:ind w:left="0" w:right="0" w:hanging="0"/>
              <w:jc w:val="left"/>
              <w:rPr/>
            </w:pPr>
            <w:r>
              <w:rPr/>
              <w:t>​</w:t>
            </w:r>
          </w:p>
        </w:tc>
        <w:tc>
          <w:tcPr>
            <w:tcW w:w="282" w:type="dxa"/>
            <w:tcBorders/>
            <w:shd w:fill="CCEEFF" w:val="clear"/>
            <w:vAlign w:val="center"/>
          </w:tcPr>
          <w:p>
            <w:pPr>
              <w:pStyle w:val="TableContents"/>
              <w:bidi w:val="0"/>
              <w:spacing w:before="0" w:after="1"/>
              <w:ind w:left="0" w:right="0" w:hanging="0"/>
              <w:jc w:val="left"/>
              <w:rPr/>
            </w:pPr>
            <w:r>
              <w:rPr/>
              <w:t>​</w:t>
            </w:r>
          </w:p>
        </w:tc>
        <w:tc>
          <w:tcPr>
            <w:tcW w:w="11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12,429</w:t>
            </w:r>
          </w:p>
        </w:tc>
      </w:tr>
      <w:tr>
        <w:trPr/>
        <w:tc>
          <w:tcPr>
            <w:tcW w:w="39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1"/>
              <w:ind w:left="0" w:right="0" w:hanging="0"/>
              <w:jc w:val="left"/>
              <w:rPr/>
            </w:pPr>
            <w:r>
              <w:rPr/>
              <w:t>​</w:t>
            </w:r>
          </w:p>
        </w:tc>
        <w:tc>
          <w:tcPr>
            <w:tcW w:w="282" w:type="dxa"/>
            <w:tcBorders/>
            <w:vAlign w:val="center"/>
          </w:tcPr>
          <w:p>
            <w:pPr>
              <w:pStyle w:val="TableContents"/>
              <w:bidi w:val="0"/>
              <w:spacing w:before="0" w:after="1"/>
              <w:ind w:left="0" w:right="0" w:hanging="0"/>
              <w:jc w:val="left"/>
              <w:rPr/>
            </w:pPr>
            <w:r>
              <w:rPr/>
              <w:t>​</w:t>
            </w:r>
          </w:p>
        </w:tc>
        <w:tc>
          <w:tcPr>
            <w:tcW w:w="11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12,937</w:t>
            </w:r>
          </w:p>
        </w:tc>
      </w:tr>
      <w:tr>
        <w:trPr/>
        <w:tc>
          <w:tcPr>
            <w:tcW w:w="39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46" w:type="dxa"/>
            <w:tcBorders/>
            <w:shd w:fill="CCEEFF" w:val="clear"/>
            <w:vAlign w:val="center"/>
          </w:tcPr>
          <w:p>
            <w:pPr>
              <w:pStyle w:val="TableContents"/>
              <w:bidi w:val="0"/>
              <w:spacing w:before="0" w:after="1"/>
              <w:ind w:left="0" w:right="0" w:hanging="0"/>
              <w:jc w:val="left"/>
              <w:rPr/>
            </w:pPr>
            <w:r>
              <w:rPr/>
              <w:t>​</w:t>
            </w:r>
          </w:p>
        </w:tc>
        <w:tc>
          <w:tcPr>
            <w:tcW w:w="28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406,530</w:t>
            </w:r>
          </w:p>
        </w:tc>
      </w:tr>
      <w:tr>
        <w:trPr/>
        <w:tc>
          <w:tcPr>
            <w:tcW w:w="39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28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9"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449,632</w:t>
            </w:r>
          </w:p>
        </w:tc>
      </w:tr>
    </w:tbl>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(2)</w:t>
            </w:r>
          </w:p>
        </w:tc>
        <w:tc>
          <w:tcPr>
            <w:tcW w:w="9913"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On May 15, 2020, the Company entered into a loan agreement with Thread Capital Inc. (“Thread Capital”) to borrow $50,000 as working capital with a maturity date of November 1, 2024. The loan bore a fixed interest rate of 5.50% per annum. This loan agreement was subsequently terminated on May 17, 2021, at which time the Company entered into a new loan agreement with Thread Capital to borrow an additional $171,300 as working capital. In the aggregate, the Company’s borrowings from Thread Capital amounted to $221,300 with a maturity date of May 1, 2031. Interest is payable at a fixed annual interest rate of 0.25% between September 1, 2021 and November 30, 2022. Beginning from December 1, 2022, the loan bears a fixed annual interest rate of 5.5%, and the Company is required to make a monthly installment payment of $2,721 within the remaining term of loan, with the last installment to be paid in May 2031.</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future maturities of the loan from Thread Capital as of June 30, 2026 were as follows:</w:t>
      </w:r>
    </w:p>
    <w:p>
      <w:pPr>
        <w:pStyle w:val="TextBody"/>
        <w:bidi w:val="0"/>
        <w:spacing w:before="0" w:after="240"/>
        <w:ind w:left="0" w:right="0" w:hanging="0"/>
        <w:jc w:val="both"/>
        <w:rPr/>
      </w:pPr>
      <w:r>
        <w:rPr/>
        <w:t>​</w:t>
      </w:r>
    </w:p>
    <w:tbl>
      <w:tblPr>
        <w:tblW w:w="5778" w:type="dxa"/>
        <w:jc w:val="left"/>
        <w:tblInd w:w="0" w:type="dxa"/>
        <w:tblLayout w:type="fixed"/>
        <w:tblCellMar>
          <w:top w:w="0" w:type="dxa"/>
          <w:left w:w="0" w:type="dxa"/>
          <w:bottom w:w="0" w:type="dxa"/>
          <w:right w:w="0" w:type="dxa"/>
        </w:tblCellMar>
      </w:tblPr>
      <w:tblGrid>
        <w:gridCol w:w="3961"/>
        <w:gridCol w:w="346"/>
        <w:gridCol w:w="282"/>
        <w:gridCol w:w="1189"/>
      </w:tblGrid>
      <w:tr>
        <w:trPr/>
        <w:tc>
          <w:tcPr>
            <w:tcW w:w="3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515235" cy="175260"/>
                      <wp:effectExtent l="0" t="0" r="0" b="0"/>
                      <wp:wrapNone/>
                      <wp:docPr id="228" name="Frame228"/>
                      <a:graphic xmlns:a="http://schemas.openxmlformats.org/drawingml/2006/main">
                        <a:graphicData uri="http://schemas.microsoft.com/office/word/2010/wordprocessingShape">
                          <wps:wsp>
                            <wps:cNvSpPr txBox="1"/>
                            <wps:spPr>
                              <a:xfrm>
                                <a:off x="0" y="0"/>
                                <a:ext cx="2515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19710" cy="175260"/>
                      <wp:effectExtent l="0" t="0" r="0" b="0"/>
                      <wp:wrapNone/>
                      <wp:docPr id="229" name="Frame2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79070" cy="175260"/>
                      <wp:effectExtent l="0" t="0" r="0" b="0"/>
                      <wp:wrapNone/>
                      <wp:docPr id="230" name="Frame230"/>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755015" cy="175260"/>
                      <wp:effectExtent l="0" t="0" r="0" b="0"/>
                      <wp:wrapNone/>
                      <wp:docPr id="231" name="Frame231"/>
                      <a:graphic xmlns:a="http://schemas.openxmlformats.org/drawingml/2006/main">
                        <a:graphicData uri="http://schemas.microsoft.com/office/word/2010/wordprocessingShape">
                          <wps:wsp>
                            <wps:cNvSpPr txBox="1"/>
                            <wps:spPr>
                              <a:xfrm>
                                <a:off x="0" y="0"/>
                                <a:ext cx="755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Fiscal Years</w:t>
            </w:r>
          </w:p>
        </w:tc>
        <w:tc>
          <w:tcPr>
            <w:tcW w:w="346" w:type="dxa"/>
            <w:tcBorders/>
            <w:vAlign w:val="center"/>
          </w:tcPr>
          <w:p>
            <w:pPr>
              <w:pStyle w:val="TableContents"/>
              <w:bidi w:val="0"/>
              <w:spacing w:before="0" w:after="0"/>
              <w:ind w:left="0" w:right="0" w:hanging="0"/>
              <w:jc w:val="center"/>
              <w:rPr/>
            </w:pPr>
            <w:r>
              <w:rPr/>
              <w:t>  ​ ​ ​</w:t>
            </w:r>
          </w:p>
        </w:tc>
        <w:tc>
          <w:tcPr>
            <w:tcW w:w="14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Future</w:t>
            </w:r>
            <w:r>
              <w:rPr>
                <w:rFonts w:ascii="Times New Roman;Times;serif" w:hAnsi="Times New Roman;Times;serif"/>
                <w:sz w:val="16"/>
              </w:rPr>
              <w:t> </w:t>
            </w:r>
            <w:r>
              <w:rPr>
                <w:rFonts w:ascii="Times New Roman;Times;serif" w:hAnsi="Times New Roman;Times;serif"/>
                <w:b/>
                <w:sz w:val="16"/>
              </w:rPr>
              <w:t>repayment</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 (from July 1, 2026 to December 31, 2026)</w:t>
            </w:r>
          </w:p>
        </w:tc>
        <w:tc>
          <w:tcPr>
            <w:tcW w:w="346" w:type="dxa"/>
            <w:tcBorders/>
            <w:shd w:fill="CCEEFF" w:val="clear"/>
            <w:vAlign w:val="center"/>
          </w:tcPr>
          <w:p>
            <w:pPr>
              <w:pStyle w:val="TableContents"/>
              <w:bidi w:val="0"/>
              <w:spacing w:before="0" w:after="0"/>
              <w:ind w:left="0" w:right="0" w:hanging="0"/>
              <w:jc w:val="left"/>
              <w:rPr/>
            </w:pPr>
            <w:r>
              <w:rPr/>
              <w:t> </w:t>
            </w:r>
          </w:p>
        </w:tc>
        <w:tc>
          <w:tcPr>
            <w:tcW w:w="282" w:type="dxa"/>
            <w:tcBorders/>
            <w:shd w:fill="CCEEFF" w:val="clear"/>
            <w:vAlign w:val="center"/>
          </w:tcPr>
          <w:p>
            <w:pPr>
              <w:pStyle w:val="TableContents"/>
              <w:bidi w:val="0"/>
              <w:spacing w:before="0" w:after="0"/>
              <w:ind w:left="0" w:right="0" w:hanging="0"/>
              <w:jc w:val="right"/>
              <w:rPr/>
            </w:pPr>
            <w:r>
              <w:rPr/>
              <w:t>​</w:t>
            </w:r>
          </w:p>
        </w:tc>
        <w:tc>
          <w:tcPr>
            <w:tcW w:w="11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12,611</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right"/>
              <w:rPr/>
            </w:pPr>
            <w:r>
              <w:rPr/>
              <w:t>​</w:t>
            </w:r>
          </w:p>
        </w:tc>
        <w:tc>
          <w:tcPr>
            <w:tcW w:w="11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26,285</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left"/>
              <w:rPr/>
            </w:pPr>
            <w:r>
              <w:rPr/>
              <w:t> </w:t>
            </w:r>
          </w:p>
        </w:tc>
        <w:tc>
          <w:tcPr>
            <w:tcW w:w="282" w:type="dxa"/>
            <w:tcBorders/>
            <w:shd w:fill="CCEEFF" w:val="clear"/>
            <w:vAlign w:val="center"/>
          </w:tcPr>
          <w:p>
            <w:pPr>
              <w:pStyle w:val="TableContents"/>
              <w:bidi w:val="0"/>
              <w:spacing w:before="0" w:after="0"/>
              <w:ind w:left="0" w:right="0" w:hanging="0"/>
              <w:jc w:val="right"/>
              <w:rPr/>
            </w:pPr>
            <w:r>
              <w:rPr/>
              <w:t>​</w:t>
            </w:r>
          </w:p>
        </w:tc>
        <w:tc>
          <w:tcPr>
            <w:tcW w:w="11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27,768</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right"/>
              <w:rPr/>
            </w:pPr>
            <w:r>
              <w:rPr/>
              <w:t>​</w:t>
            </w:r>
          </w:p>
        </w:tc>
        <w:tc>
          <w:tcPr>
            <w:tcW w:w="11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29,334</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46" w:type="dxa"/>
            <w:tcBorders/>
            <w:shd w:fill="CCEEFF" w:val="clear"/>
            <w:vAlign w:val="center"/>
          </w:tcPr>
          <w:p>
            <w:pPr>
              <w:pStyle w:val="TableContents"/>
              <w:bidi w:val="0"/>
              <w:spacing w:before="0" w:after="0"/>
              <w:ind w:left="0" w:right="0" w:hanging="0"/>
              <w:jc w:val="left"/>
              <w:rPr/>
            </w:pPr>
            <w:r>
              <w:rPr/>
              <w:t> </w:t>
            </w:r>
          </w:p>
        </w:tc>
        <w:tc>
          <w:tcPr>
            <w:tcW w:w="2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1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44,219</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8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140,217</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above-mentioned long-term borrowings, the Company recorded interest expenses of $12,533 and $13,406 for the six months ended June 30, 2026 and 2025, respectively.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12 — STOCK BASED COMPENSATION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August 16, 2024, the Company’s board of directors approved the adoption of the Plan. Subsequently, on September 30, 2024, the Company’s stockholders approved the Plan. The Plan provides for the granting of share-based awards, including options, restricted stock, restricted stock units, dividend equivalents, and other awards to directors, employees, and consultants of the Company.</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Vested shares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September 30, 2024, the compensation committee of the Company’s board of directors approved the grant of 230 shares of Class A common stock and 157 shares of Class B common stock (the “Award”) to Mr. Huan Liu, chief executive officer of the Company. The Award vested immediately upon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September 30, 2025, the compensation committee of the Company’s board of directors approved the grant of 219 shares of Class A common stock (the “Jianhui Award”) to Mr. Jianhui Li, strategic consultant of the Company. The Jianhui Award vested immediately upon grant.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092" w:name="Tc_Cl8Dq9jxL0alu6j7YfBVHA_6_0"/>
      <w:bookmarkStart w:id="1093" w:name="Tc_LiPfc5uPz0-ZKBxB2zgH-g_5_0"/>
      <w:bookmarkStart w:id="1094" w:name="Tc_iRsaC1-p10-kv9k77YyOzw_4_4"/>
      <w:bookmarkStart w:id="1095" w:name="Tc_8cA2nquGmkGHNoDqKNt22g_4_2"/>
      <w:bookmarkStart w:id="1096" w:name="Tc_8OaLZapIi0eJy2uGgzCcTQ_3_4"/>
      <w:bookmarkStart w:id="1097" w:name="Tc_SV52aTu1MEWhju-kIYQhZw_3_2"/>
      <w:bookmarkStart w:id="1098" w:name="Tc_J0E4yZQiokCCn5ADOi-A6w_2_4"/>
      <w:bookmarkStart w:id="1099" w:name="Tc_8bjIHeM7eUmU4RNBIev3NQ_2_2"/>
      <w:bookmarkStart w:id="1100" w:name="Tc_g_5XGxd2C0ySveRA9RPk3w_1_4"/>
      <w:bookmarkStart w:id="1101" w:name="Tc_8w1eV277FkyrTZKaqKL6eQ_6_0"/>
      <w:bookmarkStart w:id="1102" w:name="Tc_wXPmJ-jaxEOGCw0p-JMy4A_5_0"/>
      <w:bookmarkStart w:id="1103" w:name="Tc_LIDn3w00a0ai2gtgtw8TOA_4_6"/>
      <w:bookmarkStart w:id="1104" w:name="Tc_dB-LvQx3TE-6vClY7oVeJw_4_4"/>
      <w:bookmarkStart w:id="1105" w:name="Tc_SEU8K587k0qtVTcJp4lf5w_4_2"/>
      <w:bookmarkStart w:id="1106" w:name="Tc_S1_xOzW-vkyQ9m_LM6Ykcw_3_6"/>
      <w:bookmarkStart w:id="1107" w:name="Tc_YOOoDpBLtUamuXXt6Ym27Q_3_4"/>
      <w:bookmarkStart w:id="1108" w:name="Tc_IYk0WWJFFUW0r2W23dv6-w_3_2"/>
      <w:bookmarkStart w:id="1109" w:name="Tc_U_GBippwa0qiDJ8MKZsn8A_2_6"/>
      <w:bookmarkStart w:id="1110" w:name="Tc_CDWBjGWAe0aXsYlunH0w8w_2_4"/>
      <w:bookmarkStart w:id="1111" w:name="Tc_13ilr4Xaa0aiv7zWwGL4zg_2_2"/>
      <w:bookmarkStart w:id="1112" w:name="Tc_2riuW9JWH0SEDF1g0YisMA_1_6"/>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r>
        <w:rPr>
          <w:rFonts w:ascii="Times New Roman;Times;serif" w:hAnsi="Times New Roman;Times;serif"/>
          <w:sz w:val="20"/>
        </w:rPr>
        <w:t>On September 19, 2025, the compensation committee of the Company’s board of directors approved the grant of 720 shares of Class B common stock (the “Huan Award”) to Mr. Huan Liu, chief executive officer of the Company, pursuant to the Plan, which grant became effective on October 15, 2025. The Huan Award was vested immediately upon grant.</w:t>
      </w:r>
    </w:p>
    <w:p>
      <w:pPr>
        <w:pStyle w:val="TextBody"/>
        <w:bidi w:val="0"/>
        <w:spacing w:before="0" w:after="0"/>
        <w:ind w:left="0" w:right="0" w:hanging="0"/>
        <w:jc w:val="left"/>
        <w:rPr/>
      </w:pPr>
      <w:r>
        <w:rPr/>
        <w:t>​</w:t>
      </w:r>
    </w:p>
    <w:tbl>
      <w:tblPr>
        <w:tblW w:w="8077" w:type="dxa"/>
        <w:jc w:val="left"/>
        <w:tblInd w:w="0" w:type="dxa"/>
        <w:tblLayout w:type="fixed"/>
        <w:tblCellMar>
          <w:top w:w="0" w:type="dxa"/>
          <w:left w:w="0" w:type="dxa"/>
          <w:bottom w:w="0" w:type="dxa"/>
          <w:right w:w="0" w:type="dxa"/>
        </w:tblCellMar>
      </w:tblPr>
      <w:tblGrid>
        <w:gridCol w:w="3271"/>
        <w:gridCol w:w="346"/>
        <w:gridCol w:w="1216"/>
        <w:gridCol w:w="346"/>
        <w:gridCol w:w="1216"/>
        <w:gridCol w:w="346"/>
        <w:gridCol w:w="1336"/>
      </w:tblGrid>
      <w:tr>
        <w:trPr/>
        <w:tc>
          <w:tcPr>
            <w:tcW w:w="3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077085" cy="175260"/>
                      <wp:effectExtent l="0" t="0" r="0" b="0"/>
                      <wp:wrapNone/>
                      <wp:docPr id="232" name="Frame232"/>
                      <a:graphic xmlns:a="http://schemas.openxmlformats.org/drawingml/2006/main">
                        <a:graphicData uri="http://schemas.microsoft.com/office/word/2010/wordprocessingShape">
                          <wps:wsp>
                            <wps:cNvSpPr txBox="1"/>
                            <wps:spPr>
                              <a:xfrm>
                                <a:off x="0" y="0"/>
                                <a:ext cx="2077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19710" cy="175260"/>
                      <wp:effectExtent l="0" t="0" r="0" b="0"/>
                      <wp:wrapNone/>
                      <wp:docPr id="233" name="Frame2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772160" cy="175260"/>
                      <wp:effectExtent l="0" t="0" r="0" b="0"/>
                      <wp:wrapNone/>
                      <wp:docPr id="234" name="Frame234"/>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19710" cy="175260"/>
                      <wp:effectExtent l="0" t="0" r="0" b="0"/>
                      <wp:wrapNone/>
                      <wp:docPr id="235" name="Frame2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772160" cy="175260"/>
                      <wp:effectExtent l="0" t="0" r="0" b="0"/>
                      <wp:wrapNone/>
                      <wp:docPr id="236" name="Frame236"/>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19710" cy="175260"/>
                      <wp:effectExtent l="0" t="0" r="0" b="0"/>
                      <wp:wrapNone/>
                      <wp:docPr id="237" name="Frame2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848360" cy="175260"/>
                      <wp:effectExtent l="0" t="0" r="0" b="0"/>
                      <wp:wrapNone/>
                      <wp:docPr id="238" name="Frame238"/>
                      <a:graphic xmlns:a="http://schemas.openxmlformats.org/drawingml/2006/main">
                        <a:graphicData uri="http://schemas.microsoft.com/office/word/2010/wordprocessingShape">
                          <wps:wsp>
                            <wps:cNvSpPr txBox="1"/>
                            <wps:spPr>
                              <a:xfrm>
                                <a:off x="0" y="0"/>
                                <a:ext cx="848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2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216"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center"/>
              <w:rPr/>
            </w:pPr>
            <w:r>
              <w:rPr/>
              <w:t>  ​ ​ ​</w:t>
            </w:r>
          </w:p>
        </w:tc>
        <w:tc>
          <w:tcPr>
            <w:tcW w:w="13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32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Class A</w:t>
            </w:r>
          </w:p>
        </w:tc>
        <w:tc>
          <w:tcPr>
            <w:tcW w:w="346" w:type="dxa"/>
            <w:tcBorders/>
            <w:vAlign w:val="center"/>
          </w:tcPr>
          <w:p>
            <w:pPr>
              <w:pStyle w:val="TableContents"/>
              <w:bidi w:val="0"/>
              <w:spacing w:before="0" w:after="1"/>
              <w:ind w:left="0" w:right="0" w:hanging="0"/>
              <w:jc w:val="center"/>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Class B</w:t>
            </w:r>
          </w:p>
        </w:tc>
        <w:tc>
          <w:tcPr>
            <w:tcW w:w="346" w:type="dxa"/>
            <w:tcBorders/>
            <w:vAlign w:val="center"/>
          </w:tcPr>
          <w:p>
            <w:pPr>
              <w:pStyle w:val="TableContents"/>
              <w:bidi w:val="0"/>
              <w:spacing w:before="0" w:after="1"/>
              <w:ind w:left="0" w:right="0" w:hanging="0"/>
              <w:jc w:val="center"/>
              <w:rPr/>
            </w:pPr>
            <w:r>
              <w:rPr/>
              <w:t>​</w:t>
            </w:r>
          </w:p>
        </w:tc>
        <w:tc>
          <w:tcPr>
            <w:tcW w:w="13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Grant</w:t>
            </w:r>
          </w:p>
        </w:tc>
      </w:tr>
      <w:tr>
        <w:trPr/>
        <w:tc>
          <w:tcPr>
            <w:tcW w:w="32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1"/>
              <w:ind w:left="0" w:right="0" w:hanging="0"/>
              <w:jc w:val="center"/>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1"/>
              <w:ind w:left="0" w:right="0" w:hanging="0"/>
              <w:jc w:val="center"/>
              <w:rPr/>
            </w:pPr>
            <w:r>
              <w:rPr/>
              <w:t>​</w:t>
            </w:r>
          </w:p>
        </w:tc>
        <w:tc>
          <w:tcPr>
            <w:tcW w:w="13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 Fair Value</w:t>
            </w:r>
          </w:p>
        </w:tc>
      </w:tr>
      <w:tr>
        <w:trPr/>
        <w:tc>
          <w:tcPr>
            <w:tcW w:w="32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center"/>
              <w:rPr/>
            </w:pPr>
            <w:r>
              <w:rPr/>
              <w:t>​</w:t>
            </w:r>
          </w:p>
        </w:tc>
        <w:tc>
          <w:tcPr>
            <w:tcW w:w="12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center"/>
              <w:rPr/>
            </w:pPr>
            <w:r>
              <w:rPr/>
              <w:t>​</w:t>
            </w:r>
          </w:p>
        </w:tc>
        <w:tc>
          <w:tcPr>
            <w:tcW w:w="13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 Share (US$)</w:t>
            </w:r>
          </w:p>
        </w:tc>
      </w:tr>
      <w:tr>
        <w:trPr/>
        <w:tc>
          <w:tcPr>
            <w:tcW w:w="327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as of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12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448</w:t>
            </w:r>
          </w:p>
        </w:tc>
        <w:tc>
          <w:tcPr>
            <w:tcW w:w="346" w:type="dxa"/>
            <w:tcBorders/>
            <w:shd w:fill="CCEEFF" w:val="clear"/>
            <w:vAlign w:val="center"/>
          </w:tcPr>
          <w:p>
            <w:pPr>
              <w:pStyle w:val="TableContents"/>
              <w:bidi w:val="0"/>
              <w:spacing w:before="0" w:after="1"/>
              <w:ind w:left="0" w:right="0" w:hanging="0"/>
              <w:jc w:val="left"/>
              <w:rPr/>
            </w:pPr>
            <w:r>
              <w:rPr/>
              <w:t> </w:t>
            </w:r>
          </w:p>
        </w:tc>
        <w:tc>
          <w:tcPr>
            <w:tcW w:w="12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876</w:t>
            </w:r>
          </w:p>
        </w:tc>
        <w:tc>
          <w:tcPr>
            <w:tcW w:w="346" w:type="dxa"/>
            <w:tcBorders/>
            <w:shd w:fill="CCEEFF" w:val="clear"/>
            <w:vAlign w:val="center"/>
          </w:tcPr>
          <w:p>
            <w:pPr>
              <w:pStyle w:val="TableContents"/>
              <w:bidi w:val="0"/>
              <w:spacing w:before="0" w:after="1"/>
              <w:ind w:left="0" w:right="0" w:hanging="0"/>
              <w:jc w:val="left"/>
              <w:rPr/>
            </w:pPr>
            <w:r>
              <w:rPr/>
              <w:t> </w:t>
            </w:r>
          </w:p>
        </w:tc>
        <w:tc>
          <w:tcPr>
            <w:tcW w:w="13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460</w:t>
            </w:r>
          </w:p>
        </w:tc>
      </w:tr>
      <w:tr>
        <w:trPr/>
        <w:tc>
          <w:tcPr>
            <w:tcW w:w="327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outstanding as of June 30, 2026</w:t>
            </w:r>
          </w:p>
        </w:tc>
        <w:tc>
          <w:tcPr>
            <w:tcW w:w="346" w:type="dxa"/>
            <w:tcBorders/>
            <w:vAlign w:val="center"/>
          </w:tcPr>
          <w:p>
            <w:pPr>
              <w:pStyle w:val="TableContents"/>
              <w:bidi w:val="0"/>
              <w:spacing w:before="0" w:after="1"/>
              <w:ind w:left="0" w:right="0" w:hanging="0"/>
              <w:jc w:val="left"/>
              <w:rPr/>
            </w:pPr>
            <w:r>
              <w:rPr/>
              <w:t> </w:t>
            </w:r>
          </w:p>
        </w:tc>
        <w:tc>
          <w:tcPr>
            <w:tcW w:w="12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448</w:t>
            </w:r>
          </w:p>
        </w:tc>
        <w:tc>
          <w:tcPr>
            <w:tcW w:w="346" w:type="dxa"/>
            <w:tcBorders/>
            <w:vAlign w:val="center"/>
          </w:tcPr>
          <w:p>
            <w:pPr>
              <w:pStyle w:val="TableContents"/>
              <w:bidi w:val="0"/>
              <w:spacing w:before="0" w:after="1"/>
              <w:ind w:left="0" w:right="0" w:hanging="0"/>
              <w:jc w:val="left"/>
              <w:rPr/>
            </w:pPr>
            <w:r>
              <w:rPr/>
              <w:t> </w:t>
            </w:r>
          </w:p>
        </w:tc>
        <w:tc>
          <w:tcPr>
            <w:tcW w:w="12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876</w:t>
            </w:r>
          </w:p>
        </w:tc>
        <w:tc>
          <w:tcPr>
            <w:tcW w:w="346" w:type="dxa"/>
            <w:tcBorders/>
            <w:vAlign w:val="center"/>
          </w:tcPr>
          <w:p>
            <w:pPr>
              <w:pStyle w:val="TableContents"/>
              <w:bidi w:val="0"/>
              <w:spacing w:before="0" w:after="1"/>
              <w:ind w:left="0" w:right="0" w:hanging="0"/>
              <w:jc w:val="left"/>
              <w:rPr/>
            </w:pPr>
            <w:r>
              <w:rPr/>
              <w:t> </w:t>
            </w:r>
          </w:p>
        </w:tc>
        <w:tc>
          <w:tcPr>
            <w:tcW w:w="1336"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460</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Nonvested shares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September 30, 2024, the compensation committee of the Company’s board of directors approved the grant of 94 and 271 shares of Class A common stock to one director and six employees, respectively, vesting ratably on each of the first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 anniversaries of the grant date. Subsequently, on November 30, 2024, the compensation committee of the Company’s board of directors approved the grant of 31 shares of Class A common stock to one employee. On January 1, 2025, January 17, 2025, and September 23, 2025, a total of 156 shares were forfeited. On September 30, 2025, a total of 60 shares were vested.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summary of the nonvested shares for the six months ended June 30, 2026 is as follows:</w:t>
      </w:r>
    </w:p>
    <w:p>
      <w:pPr>
        <w:pStyle w:val="TextBody"/>
        <w:bidi w:val="0"/>
        <w:spacing w:before="0" w:after="240"/>
        <w:ind w:left="0" w:right="0" w:hanging="0"/>
        <w:jc w:val="both"/>
        <w:rPr/>
      </w:pPr>
      <w:r>
        <w:rPr/>
        <w:t>​</w:t>
      </w:r>
    </w:p>
    <w:tbl>
      <w:tblPr>
        <w:tblW w:w="6080" w:type="dxa"/>
        <w:jc w:val="left"/>
        <w:tblInd w:w="0" w:type="dxa"/>
        <w:tblLayout w:type="fixed"/>
        <w:tblCellMar>
          <w:top w:w="0" w:type="dxa"/>
          <w:left w:w="0" w:type="dxa"/>
          <w:bottom w:w="0" w:type="dxa"/>
          <w:right w:w="0" w:type="dxa"/>
        </w:tblCellMar>
      </w:tblPr>
      <w:tblGrid>
        <w:gridCol w:w="3166"/>
        <w:gridCol w:w="346"/>
        <w:gridCol w:w="886"/>
        <w:gridCol w:w="346"/>
        <w:gridCol w:w="1336"/>
      </w:tblGrid>
      <w:tr>
        <w:trPr/>
        <w:tc>
          <w:tcPr>
            <w:tcW w:w="3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19710" cy="175260"/>
                      <wp:effectExtent l="0" t="0" r="0" b="0"/>
                      <wp:wrapNone/>
                      <wp:docPr id="239" name="Frame2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562610" cy="175260"/>
                      <wp:effectExtent l="0" t="0" r="0" b="0"/>
                      <wp:wrapNone/>
                      <wp:docPr id="240" name="Frame24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19710" cy="175260"/>
                      <wp:effectExtent l="0" t="0" r="0" b="0"/>
                      <wp:wrapNone/>
                      <wp:docPr id="241" name="Frame2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848360" cy="175260"/>
                      <wp:effectExtent l="0" t="0" r="0" b="0"/>
                      <wp:wrapNone/>
                      <wp:docPr id="242" name="Frame242"/>
                      <a:graphic xmlns:a="http://schemas.openxmlformats.org/drawingml/2006/main">
                        <a:graphicData uri="http://schemas.microsoft.com/office/word/2010/wordprocessingShape">
                          <wps:wsp>
                            <wps:cNvSpPr txBox="1"/>
                            <wps:spPr>
                              <a:xfrm>
                                <a:off x="0" y="0"/>
                                <a:ext cx="848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center"/>
              <w:rPr/>
            </w:pPr>
            <w:r>
              <w:rPr/>
              <w:t>​</w:t>
            </w:r>
          </w:p>
        </w:tc>
        <w:tc>
          <w:tcPr>
            <w:tcW w:w="13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3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1"/>
              <w:ind w:left="0" w:right="0" w:hanging="0"/>
              <w:jc w:val="left"/>
              <w:rPr/>
            </w:pPr>
            <w:r>
              <w:rPr/>
              <w:t>​</w:t>
            </w:r>
          </w:p>
        </w:tc>
        <w:tc>
          <w:tcPr>
            <w:tcW w:w="13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Grant</w:t>
            </w:r>
          </w:p>
        </w:tc>
      </w:tr>
      <w:tr>
        <w:trPr/>
        <w:tc>
          <w:tcPr>
            <w:tcW w:w="3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non-vested</w:t>
            </w:r>
          </w:p>
        </w:tc>
        <w:tc>
          <w:tcPr>
            <w:tcW w:w="346" w:type="dxa"/>
            <w:tcBorders/>
            <w:vAlign w:val="center"/>
          </w:tcPr>
          <w:p>
            <w:pPr>
              <w:pStyle w:val="TableContents"/>
              <w:bidi w:val="0"/>
              <w:spacing w:before="0" w:after="1"/>
              <w:ind w:left="0" w:right="0" w:hanging="0"/>
              <w:jc w:val="left"/>
              <w:rPr/>
            </w:pPr>
            <w:r>
              <w:rPr/>
              <w:t>​</w:t>
            </w:r>
          </w:p>
        </w:tc>
        <w:tc>
          <w:tcPr>
            <w:tcW w:w="13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 Fair Value</w:t>
            </w:r>
          </w:p>
        </w:tc>
      </w:tr>
      <w:tr>
        <w:trPr/>
        <w:tc>
          <w:tcPr>
            <w:tcW w:w="3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left"/>
              <w:rPr/>
            </w:pPr>
            <w:r>
              <w:rPr/>
              <w:t>  ​ ​ ​</w:t>
            </w:r>
          </w:p>
        </w:tc>
        <w:tc>
          <w:tcPr>
            <w:tcW w:w="13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 Share (US$)</w:t>
            </w:r>
          </w:p>
        </w:tc>
      </w:tr>
      <w:tr>
        <w:trPr/>
        <w:tc>
          <w:tcPr>
            <w:tcW w:w="316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as of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w:t>
            </w:r>
          </w:p>
        </w:tc>
        <w:tc>
          <w:tcPr>
            <w:tcW w:w="346" w:type="dxa"/>
            <w:tcBorders/>
            <w:shd w:fill="CCEEFF" w:val="clear"/>
            <w:vAlign w:val="center"/>
          </w:tcPr>
          <w:p>
            <w:pPr>
              <w:pStyle w:val="TableContents"/>
              <w:bidi w:val="0"/>
              <w:spacing w:before="0" w:after="1"/>
              <w:ind w:left="0" w:right="0" w:hanging="0"/>
              <w:jc w:val="left"/>
              <w:rPr/>
            </w:pPr>
            <w:r>
              <w:rPr/>
              <w:t>​</w:t>
            </w:r>
          </w:p>
        </w:tc>
        <w:tc>
          <w:tcPr>
            <w:tcW w:w="13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678</w:t>
            </w:r>
          </w:p>
        </w:tc>
      </w:tr>
      <w:tr>
        <w:trPr/>
        <w:tc>
          <w:tcPr>
            <w:tcW w:w="316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as of June 30, 2026</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w:t>
            </w:r>
          </w:p>
        </w:tc>
        <w:tc>
          <w:tcPr>
            <w:tcW w:w="346" w:type="dxa"/>
            <w:tcBorders/>
            <w:vAlign w:val="center"/>
          </w:tcPr>
          <w:p>
            <w:pPr>
              <w:pStyle w:val="TableContents"/>
              <w:bidi w:val="0"/>
              <w:spacing w:before="0" w:after="1"/>
              <w:ind w:left="0" w:right="0" w:hanging="0"/>
              <w:jc w:val="left"/>
              <w:rPr/>
            </w:pPr>
            <w:r>
              <w:rPr/>
              <w:t>​</w:t>
            </w:r>
          </w:p>
        </w:tc>
        <w:tc>
          <w:tcPr>
            <w:tcW w:w="1336"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678</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fair value of vested and non-vested shares is determined by the market closing price of Class A common stock at the grant date. Accordingly, the Company recorded share-based compensation expenses of $14,182 and $28,364 for the three and six months ended June 30, 2026, respectively.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June 30, 2026, total unrecognized compensation cost relating to nonvested shares was $93,198, which is to be recognized over a weighted average period of two years.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1113" w:name="Tc_-Egdn2Q7z0yay2xHzFbJnQ_4_5"/>
      <w:bookmarkStart w:id="1114" w:name="Tc_24boBP-4jkqyWBwx3feCYg_4_2"/>
      <w:bookmarkStart w:id="1115" w:name="Tc_bTLchUaWdkml-4-cQrewaA_4_0"/>
      <w:bookmarkStart w:id="1116" w:name="Tc_46HNF3iBd02ndKJJIA9IWQ_3_5"/>
      <w:bookmarkStart w:id="1117" w:name="Tc_8PUiiQXpwEyV_YhqIwHMjg_3_2"/>
      <w:bookmarkStart w:id="1118" w:name="Tc_zupDEvu65UaT-4gNMNJvvw_2_5"/>
      <w:bookmarkStart w:id="1119" w:name="Tc_pAF_tmCeeUG5Hl3x_1LXTQ_2_2"/>
      <w:bookmarkStart w:id="1120" w:name="Tc_v7Zp4WyEMU2kfLImTaLwbA_1_5"/>
      <w:bookmarkStart w:id="1121" w:name="Tc_gNSxxUAqFUyQmHxvCV6sPw_1_2"/>
      <w:bookmarkEnd w:id="1113"/>
      <w:bookmarkEnd w:id="1114"/>
      <w:bookmarkEnd w:id="1115"/>
      <w:bookmarkEnd w:id="1116"/>
      <w:bookmarkEnd w:id="1117"/>
      <w:bookmarkEnd w:id="1118"/>
      <w:bookmarkEnd w:id="1119"/>
      <w:bookmarkEnd w:id="1120"/>
      <w:bookmarkEnd w:id="1121"/>
      <w:r>
        <w:rPr>
          <w:rFonts w:ascii="Times New Roman;Times;serif" w:hAnsi="Times New Roman;Times;serif"/>
          <w:b/>
          <w:sz w:val="20"/>
        </w:rPr>
        <w:t>NOTE 13 —</w:t>
      </w:r>
      <w:r>
        <w:rPr>
          <w:rFonts w:ascii="Times New Roman;Times;serif" w:hAnsi="Times New Roman;Times;serif"/>
          <w:sz w:val="20"/>
        </w:rPr>
        <w:t xml:space="preserve"> </w:t>
      </w:r>
      <w:r>
        <w:rPr>
          <w:rFonts w:ascii="Times New Roman;Times;serif" w:hAnsi="Times New Roman;Times;serif"/>
          <w:b/>
          <w:sz w:val="20"/>
        </w:rPr>
        <w:t>RELATED PARTY TRANSACTIONS</w:t>
      </w:r>
    </w:p>
    <w:tbl>
      <w:tblPr>
        <w:tblW w:w="3902" w:type="dxa"/>
        <w:jc w:val="left"/>
        <w:tblInd w:w="0" w:type="dxa"/>
        <w:tblLayout w:type="fixed"/>
        <w:tblCellMar>
          <w:top w:w="0" w:type="dxa"/>
          <w:left w:w="0" w:type="dxa"/>
          <w:bottom w:w="0" w:type="dxa"/>
          <w:right w:w="0" w:type="dxa"/>
        </w:tblCellMar>
      </w:tblPr>
      <w:tblGrid>
        <w:gridCol w:w="271"/>
        <w:gridCol w:w="3631"/>
      </w:tblGrid>
      <w:tr>
        <w:trPr/>
        <w:tc>
          <w:tcPr>
            <w:tcW w:w="271"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a.</w:t>
            </w:r>
          </w:p>
        </w:tc>
        <w:tc>
          <w:tcPr>
            <w:tcW w:w="3631" w:type="dxa"/>
            <w:tcBorders/>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Nature of relationship with related parties</w:t>
            </w:r>
          </w:p>
        </w:tc>
      </w:tr>
    </w:tbl>
    <w:p>
      <w:pPr>
        <w:pStyle w:val="TextBody"/>
        <w:bidi w:val="0"/>
        <w:spacing w:before="0" w:after="0"/>
        <w:ind w:left="0" w:right="0" w:hanging="0"/>
        <w:jc w:val="left"/>
        <w:rPr/>
      </w:pPr>
      <w:r>
        <w:rPr/>
        <w:t>​</w:t>
      </w:r>
    </w:p>
    <w:tbl>
      <w:tblPr>
        <w:tblW w:w="4263" w:type="dxa"/>
        <w:jc w:val="left"/>
        <w:tblInd w:w="0" w:type="dxa"/>
        <w:tblLayout w:type="fixed"/>
        <w:tblCellMar>
          <w:top w:w="0" w:type="dxa"/>
          <w:left w:w="0" w:type="dxa"/>
          <w:bottom w:w="28" w:type="dxa"/>
          <w:right w:w="0" w:type="dxa"/>
        </w:tblCellMar>
      </w:tblPr>
      <w:tblGrid>
        <w:gridCol w:w="1126"/>
        <w:gridCol w:w="346"/>
        <w:gridCol w:w="2791"/>
      </w:tblGrid>
      <w:tr>
        <w:trPr/>
        <w:tc>
          <w:tcPr>
            <w:tcW w:w="1126" w:type="dxa"/>
            <w:tcBorders>
              <w:bottom w:val="single" w:sz="2" w:space="0" w:color="000000"/>
            </w:tcBorders>
            <w:vAlign w:val="center"/>
          </w:tcPr>
          <w:p>
            <w:pPr>
              <w:pStyle w:val="TableContents"/>
              <w:bidi w:val="0"/>
              <w:spacing w:lineRule="auto" w:line="328"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46" w:type="dxa"/>
            <w:tcBorders/>
            <w:tcMar>
              <w:bottom w:w="0" w:type="dxa"/>
            </w:tcMar>
            <w:vAlign w:val="center"/>
          </w:tcPr>
          <w:p>
            <w:pPr>
              <w:pStyle w:val="TableContents"/>
              <w:bidi w:val="0"/>
              <w:spacing w:lineRule="auto" w:line="328" w:before="0" w:after="0"/>
              <w:ind w:left="0" w:right="0" w:hanging="0"/>
              <w:jc w:val="left"/>
              <w:rPr/>
            </w:pPr>
            <w:r>
              <w:rPr/>
              <w:t>  ​ ​ ​</w:t>
            </w:r>
          </w:p>
        </w:tc>
        <w:tc>
          <w:tcPr>
            <w:tcW w:w="2791" w:type="dxa"/>
            <w:tcBorders>
              <w:bottom w:val="single" w:sz="2" w:space="0" w:color="000000"/>
            </w:tcBorders>
            <w:vAlign w:val="center"/>
          </w:tcPr>
          <w:p>
            <w:pPr>
              <w:pStyle w:val="TableContents"/>
              <w:bidi w:val="0"/>
              <w:spacing w:lineRule="auto" w:line="328" w:before="0" w:after="0"/>
              <w:ind w:left="0" w:right="0" w:hanging="0"/>
              <w:jc w:val="left"/>
              <w:rPr>
                <w:rFonts w:ascii="Times New Roman;Times;serif" w:hAnsi="Times New Roman;Times;serif"/>
                <w:b/>
                <w:sz w:val="16"/>
              </w:rPr>
            </w:pPr>
            <w:r>
              <w:rPr>
                <w:rFonts w:ascii="Times New Roman;Times;serif" w:hAnsi="Times New Roman;Times;serif"/>
                <w:b/>
                <w:sz w:val="16"/>
              </w:rPr>
              <w:t>Relationship with Our Company</w:t>
            </w:r>
          </w:p>
        </w:tc>
      </w:tr>
      <w:tr>
        <w:trPr/>
        <w:tc>
          <w:tcPr>
            <w:tcW w:w="1126" w:type="dxa"/>
            <w:tcBorders>
              <w:top w:val="single" w:sz="2" w:space="0" w:color="000000"/>
            </w:tcBorders>
            <w:shd w:fill="CCEEFF" w:val="clear"/>
            <w:tcMar>
              <w:top w:w="28" w:type="dxa"/>
              <w:bottom w:w="0"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Weishu Guo</w:t>
            </w:r>
          </w:p>
        </w:tc>
        <w:tc>
          <w:tcPr>
            <w:tcW w:w="346" w:type="dxa"/>
            <w:tcBorders/>
            <w:shd w:fill="CCEEFF" w:val="clear"/>
            <w:tcMar>
              <w:bottom w:w="0" w:type="dxa"/>
            </w:tcMar>
            <w:vAlign w:val="center"/>
          </w:tcPr>
          <w:p>
            <w:pPr>
              <w:pStyle w:val="TableContents"/>
              <w:bidi w:val="0"/>
              <w:spacing w:lineRule="auto" w:line="328" w:before="0" w:after="0"/>
              <w:ind w:left="0" w:right="0" w:hanging="0"/>
              <w:jc w:val="left"/>
              <w:rPr/>
            </w:pPr>
            <w:r>
              <w:rPr/>
              <w:t>​</w:t>
            </w:r>
          </w:p>
        </w:tc>
        <w:tc>
          <w:tcPr>
            <w:tcW w:w="2791" w:type="dxa"/>
            <w:tcBorders>
              <w:top w:val="single" w:sz="2" w:space="0" w:color="000000"/>
            </w:tcBorders>
            <w:shd w:fill="CCEEFF" w:val="clear"/>
            <w:tcMar>
              <w:top w:w="28" w:type="dxa"/>
              <w:bottom w:w="0"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Legal representative of Nextrade</w:t>
            </w:r>
          </w:p>
        </w:tc>
      </w:tr>
    </w:tbl>
    <w:p>
      <w:pPr>
        <w:pStyle w:val="TextBody"/>
        <w:bidi w:val="0"/>
        <w:spacing w:before="0" w:after="0"/>
        <w:ind w:left="0" w:right="0" w:hanging="0"/>
        <w:jc w:val="left"/>
        <w:rPr/>
      </w:pPr>
      <w:r>
        <w:rPr/>
        <w:t>​</w:t>
      </w:r>
    </w:p>
    <w:tbl>
      <w:tblPr>
        <w:tblW w:w="2222" w:type="dxa"/>
        <w:jc w:val="left"/>
        <w:tblInd w:w="0" w:type="dxa"/>
        <w:tblLayout w:type="fixed"/>
        <w:tblCellMar>
          <w:top w:w="0" w:type="dxa"/>
          <w:left w:w="0" w:type="dxa"/>
          <w:bottom w:w="0" w:type="dxa"/>
          <w:right w:w="0" w:type="dxa"/>
        </w:tblCellMar>
      </w:tblPr>
      <w:tblGrid>
        <w:gridCol w:w="271"/>
        <w:gridCol w:w="1951"/>
      </w:tblGrid>
      <w:tr>
        <w:trPr/>
        <w:tc>
          <w:tcPr>
            <w:tcW w:w="271"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b.</w:t>
            </w:r>
          </w:p>
        </w:tc>
        <w:tc>
          <w:tcPr>
            <w:tcW w:w="1951" w:type="dxa"/>
            <w:tcBorders/>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Due to a related party</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details of due to a related party are as below:</w:t>
      </w:r>
    </w:p>
    <w:p>
      <w:pPr>
        <w:pStyle w:val="TextBody"/>
        <w:bidi w:val="0"/>
        <w:spacing w:before="0" w:after="0"/>
        <w:ind w:left="0" w:right="0" w:hanging="0"/>
        <w:jc w:val="left"/>
        <w:rPr/>
      </w:pPr>
      <w:r>
        <w:rPr/>
        <w:t>​</w:t>
      </w:r>
    </w:p>
    <w:tbl>
      <w:tblPr>
        <w:tblW w:w="5118" w:type="dxa"/>
        <w:jc w:val="left"/>
        <w:tblInd w:w="0" w:type="dxa"/>
        <w:tblLayout w:type="fixed"/>
        <w:tblCellMar>
          <w:top w:w="0" w:type="dxa"/>
          <w:left w:w="0" w:type="dxa"/>
          <w:bottom w:w="0" w:type="dxa"/>
          <w:right w:w="0" w:type="dxa"/>
        </w:tblCellMar>
      </w:tblPr>
      <w:tblGrid>
        <w:gridCol w:w="2311"/>
        <w:gridCol w:w="346"/>
        <w:gridCol w:w="218"/>
        <w:gridCol w:w="592"/>
        <w:gridCol w:w="346"/>
        <w:gridCol w:w="309"/>
        <w:gridCol w:w="99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467485" cy="175260"/>
                      <wp:effectExtent l="0" t="0" r="0" b="0"/>
                      <wp:wrapNone/>
                      <wp:docPr id="243" name="Frame243"/>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19710" cy="175260"/>
                      <wp:effectExtent l="0" t="0" r="0" b="0"/>
                      <wp:wrapNone/>
                      <wp:docPr id="244" name="Frame2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38430" cy="175260"/>
                      <wp:effectExtent l="0" t="0" r="0" b="0"/>
                      <wp:wrapNone/>
                      <wp:docPr id="245" name="Frame245"/>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375920" cy="175260"/>
                      <wp:effectExtent l="0" t="0" r="0" b="0"/>
                      <wp:wrapNone/>
                      <wp:docPr id="246" name="Frame246"/>
                      <a:graphic xmlns:a="http://schemas.openxmlformats.org/drawingml/2006/main">
                        <a:graphicData uri="http://schemas.microsoft.com/office/word/2010/wordprocessingShape">
                          <wps:wsp>
                            <wps:cNvSpPr txBox="1"/>
                            <wps:spPr>
                              <a:xfrm>
                                <a:off x="0" y="0"/>
                                <a:ext cx="375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19710" cy="175260"/>
                      <wp:effectExtent l="0" t="0" r="0" b="0"/>
                      <wp:wrapNone/>
                      <wp:docPr id="247" name="Frame2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96215" cy="175260"/>
                      <wp:effectExtent l="0" t="0" r="0" b="0"/>
                      <wp:wrapNone/>
                      <wp:docPr id="248" name="Frame248"/>
                      <a:graphic xmlns:a="http://schemas.openxmlformats.org/drawingml/2006/main">
                        <a:graphicData uri="http://schemas.microsoft.com/office/word/2010/wordprocessingShape">
                          <wps:wsp>
                            <wps:cNvSpPr txBox="1"/>
                            <wps:spPr>
                              <a:xfrm>
                                <a:off x="0" y="0"/>
                                <a:ext cx="196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32460" cy="175260"/>
                      <wp:effectExtent l="0" t="0" r="0" b="0"/>
                      <wp:wrapNone/>
                      <wp:docPr id="249" name="Frame249"/>
                      <a:graphic xmlns:a="http://schemas.openxmlformats.org/drawingml/2006/main">
                        <a:graphicData uri="http://schemas.microsoft.com/office/word/2010/wordprocessingShape">
                          <wps:wsp>
                            <wps:cNvSpPr txBox="1"/>
                            <wps:spPr>
                              <a:xfrm>
                                <a:off x="0" y="0"/>
                                <a:ext cx="632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81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w:t>
            </w:r>
          </w:p>
        </w:tc>
        <w:tc>
          <w:tcPr>
            <w:tcW w:w="346" w:type="dxa"/>
            <w:tcBorders/>
            <w:vAlign w:val="center"/>
          </w:tcPr>
          <w:p>
            <w:pPr>
              <w:pStyle w:val="TableContents"/>
              <w:bidi w:val="0"/>
              <w:spacing w:before="0" w:after="1"/>
              <w:ind w:left="0" w:right="0" w:hanging="0"/>
              <w:jc w:val="center"/>
              <w:rPr/>
            </w:pPr>
            <w:r>
              <w:rPr/>
              <w:t>  ​ ​ ​</w:t>
            </w:r>
          </w:p>
        </w:tc>
        <w:tc>
          <w:tcPr>
            <w:tcW w:w="130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w:t>
            </w:r>
          </w:p>
        </w:tc>
      </w:tr>
      <w:tr>
        <w:trPr/>
        <w:tc>
          <w:tcPr>
            <w:tcW w:w="23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1"/>
              <w:ind w:left="0" w:right="0" w:hanging="0"/>
              <w:jc w:val="center"/>
              <w:rPr/>
            </w:pPr>
            <w:r>
              <w:rPr/>
              <w:t>​</w:t>
            </w:r>
          </w:p>
        </w:tc>
        <w:tc>
          <w:tcPr>
            <w:tcW w:w="13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a related party</w:t>
            </w:r>
          </w:p>
        </w:tc>
        <w:tc>
          <w:tcPr>
            <w:tcW w:w="346"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9,713</w:t>
            </w:r>
          </w:p>
        </w:tc>
        <w:tc>
          <w:tcPr>
            <w:tcW w:w="346" w:type="dxa"/>
            <w:tcBorders/>
            <w:shd w:fill="CCEEFF" w:val="clear"/>
            <w:vAlign w:val="center"/>
          </w:tcPr>
          <w:p>
            <w:pPr>
              <w:pStyle w:val="TableContents"/>
              <w:bidi w:val="0"/>
              <w:spacing w:before="0" w:after="1"/>
              <w:ind w:left="0" w:right="0" w:hanging="0"/>
              <w:jc w:val="left"/>
              <w:rPr/>
            </w:pPr>
            <w:r>
              <w:rPr/>
              <w:t>​</w:t>
            </w:r>
          </w:p>
        </w:tc>
        <w:tc>
          <w:tcPr>
            <w:tcW w:w="3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5,204</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due to a related party</w:t>
            </w:r>
          </w:p>
        </w:tc>
        <w:tc>
          <w:tcPr>
            <w:tcW w:w="346" w:type="dxa"/>
            <w:tcBorders/>
            <w:vAlign w:val="center"/>
          </w:tcPr>
          <w:p>
            <w:pPr>
              <w:pStyle w:val="TableContents"/>
              <w:bidi w:val="0"/>
              <w:spacing w:before="0" w:after="1"/>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9,713</w:t>
            </w:r>
          </w:p>
        </w:tc>
        <w:tc>
          <w:tcPr>
            <w:tcW w:w="346" w:type="dxa"/>
            <w:tcBorders/>
            <w:vAlign w:val="center"/>
          </w:tcPr>
          <w:p>
            <w:pPr>
              <w:pStyle w:val="TableContents"/>
              <w:bidi w:val="0"/>
              <w:spacing w:before="0" w:after="1"/>
              <w:ind w:left="0" w:right="0" w:hanging="0"/>
              <w:jc w:val="left"/>
              <w:rPr/>
            </w:pPr>
            <w:r>
              <w:rPr/>
              <w:t>​</w:t>
            </w:r>
          </w:p>
        </w:tc>
        <w:tc>
          <w:tcPr>
            <w:tcW w:w="30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5,204</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1122" w:name="Tc_hk1EmgoNpkuL9DfzFlNV3A_9_7"/>
      <w:bookmarkStart w:id="1123" w:name="Tc_Y9VBMaD_x0GLwBYCIDthSg_9_4"/>
      <w:bookmarkStart w:id="1124" w:name="Tc_paJDs_dCJUG-EDciDQNnMQ_9_0"/>
      <w:bookmarkStart w:id="1125" w:name="Tc_LWosEguNa0qGiyuXfTsvpw_8_7"/>
      <w:bookmarkStart w:id="1126" w:name="Tc_sWgVsYdyAkKK8qPh_INu7w_8_6"/>
      <w:bookmarkStart w:id="1127" w:name="Tc_EQN1ei_IVk6dFzKyrdt1Bg_8_4"/>
      <w:bookmarkStart w:id="1128" w:name="Tc_4ZXZ_UAdykioba3--2mFJA_8_0"/>
      <w:bookmarkStart w:id="1129" w:name="Tc_L_f1R9NeC02ESpozg9jRMg_7_7"/>
      <w:bookmarkStart w:id="1130" w:name="Tc_KICfQEFSDk6KWCUPjyPOZg_7_4"/>
      <w:bookmarkStart w:id="1131" w:name="Tc_eDMff9CX-ki5q8kWqhlMyQ_7_0"/>
      <w:bookmarkStart w:id="1132" w:name="Tc_BQwRtnbEIUiF-wdag24vCg_6_7"/>
      <w:bookmarkStart w:id="1133" w:name="Tc_eH5qzqK5s0mQKNB4-r6Vww_6_4"/>
      <w:bookmarkStart w:id="1134" w:name="Tc_TEsWKZI4zEuAGBw2BJa2Dw_6_0"/>
      <w:bookmarkStart w:id="1135" w:name="Tc_O6MF9nALAkqOIeKA6qdnug_5_7"/>
      <w:bookmarkStart w:id="1136" w:name="Tc_NjwnURt66EmbdKnSKPW-Yw_5_4"/>
      <w:bookmarkStart w:id="1137" w:name="Tc_rClZ3TaGWkmuw9xgZa4dHQ_5_0"/>
      <w:bookmarkStart w:id="1138" w:name="Tc_u53sosVxrU686e-0GD9yWw_4_7"/>
      <w:bookmarkStart w:id="1139" w:name="Tc_-GmGp15ovEm6bjPxiPDTMw_4_4"/>
      <w:bookmarkStart w:id="1140" w:name="Tc_ZelKas8-G0qL2vxaaExDPg_4_0"/>
      <w:bookmarkStart w:id="1141" w:name="Tc_zGnGresH8EiYWpjBD78VMQ_3_5"/>
      <w:bookmarkStart w:id="1142" w:name="Tc_x7lVtjbIQ0S1UJMkBdiRPw_3_2"/>
      <w:bookmarkStart w:id="1143" w:name="Tc_ChrIyXgUy06Zt-xhWteQtQ_2_2"/>
      <w:bookmarkStart w:id="1144" w:name="Tc_VGOr4ttXH0Or4bERpGEtJw_1_2"/>
      <w:bookmarkStart w:id="1145" w:name="Tc_fiCPXZG_o0KnQ3caJTs6Pg_13_5"/>
      <w:bookmarkStart w:id="1146" w:name="Tc_srIOKyh72E2WM7H0NmgH5Q_13_2"/>
      <w:bookmarkStart w:id="1147" w:name="Tc_jWHgW_H_K0iET7jT-KnMhQ_13_0"/>
      <w:bookmarkStart w:id="1148" w:name="Tc_M9n4Jvy_n02568ACdZLvgw_12_3"/>
      <w:bookmarkStart w:id="1149" w:name="Tc_6dZgrWW0j0ihJ4MhTbrHOQ_12_0"/>
      <w:bookmarkStart w:id="1150" w:name="Tc_F5FIfAdTE0KIgApmaoYO_g_11_6"/>
      <w:bookmarkStart w:id="1151" w:name="Tc_IgLpb30ZN0ucGsK7KjJtGA_11_3"/>
      <w:bookmarkStart w:id="1152" w:name="Tc_YDE1hR-L7EG7W1Fj75R6jQ_11_0"/>
      <w:bookmarkStart w:id="1153" w:name="Tc_rznEd939BkeRoR03idC6KQ_10_6"/>
      <w:bookmarkStart w:id="1154" w:name="Tc_U4ur4fVMIkyii76rJ2d_NA_10_3"/>
      <w:bookmarkStart w:id="1155" w:name="Tc_C7Xj_SFXFkScCDQajqqPfA_10_0"/>
      <w:bookmarkStart w:id="1156" w:name="Tc_R98fx3_EH0eFYXTPec-Dbw_9_6"/>
      <w:bookmarkStart w:id="1157" w:name="Tc_xlX1nC2Rmk6s6gK5SOyzXw_9_3"/>
      <w:bookmarkStart w:id="1158" w:name="Tc__9XOfRBX80amP0UPv1BOWg_9_0"/>
      <w:bookmarkStart w:id="1159" w:name="Tc_exrFjcfG8USj6qTprFkS1w_8_0"/>
      <w:bookmarkStart w:id="1160" w:name="Tc_lkAj9zpq00i8WD4KeGQNHA_7_0"/>
      <w:bookmarkStart w:id="1161" w:name="Tc_kyVKjh7d306x0FMRNmyztQ_6_0"/>
      <w:bookmarkStart w:id="1162" w:name="Tc_t3MOXDvQ90q-WhwXIT2gBA_5_6"/>
      <w:bookmarkStart w:id="1163" w:name="Tc_Wx-PiS6VgU2mX0sEShjFgQ_5_5"/>
      <w:bookmarkStart w:id="1164" w:name="Tc_-8ZcOlXlDkqxjb4MtLNezw_5_3"/>
      <w:bookmarkStart w:id="1165" w:name="Tc_esNxIowHf0mBkKLvtOPSCw_5_2"/>
      <w:bookmarkStart w:id="1166" w:name="Tc_ndX7E2OqI0ybur__43Q09g_5_0"/>
      <w:bookmarkStart w:id="1167" w:name="Tc_kfVASQg1lk-PkBzTv5TEPw_4_0"/>
      <w:bookmarkStart w:id="1168" w:name="Tc__qLWxhnjLUa_aJXfiVL0eA_3_5"/>
      <w:bookmarkStart w:id="1169" w:name="Tc_58Ad3taJjUSaQlLuqwU_-g_3_2"/>
      <w:bookmarkStart w:id="1170" w:name="Tc_i5Bet8jNJUSEQL8qM28chQ_2_2"/>
      <w:bookmarkStart w:id="1171" w:name="Tc_vo3AQu81ekyxHohLYW-4Vg_1_2"/>
      <w:bookmarkStart w:id="1172" w:name="Tc_l3WHE8_mBkmU2OQsluObcg_4_5"/>
      <w:bookmarkStart w:id="1173" w:name="Tc_zbyfUEAS9UKugTlB_eMdwA_4_2"/>
      <w:bookmarkStart w:id="1174" w:name="Tc_MM4Hf4H7v0qqJ_YUBgkt4w_4_0"/>
      <w:bookmarkStart w:id="1175" w:name="Tc_HpU3b1Wk4UW3GbaJ3kGbQQ_3_5"/>
      <w:bookmarkStart w:id="1176" w:name="Tc_UkIQWKdJXUqSlCz4WnM3Zg_3_2"/>
      <w:bookmarkStart w:id="1177" w:name="Tc_gI2Nkv53VEe3LB_IOFyhAQ_2_3"/>
      <w:bookmarkStart w:id="1178" w:name="Tc_YmurESMDuEWIygxwqLOytg_1_3"/>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r>
        <w:rPr>
          <w:rFonts w:ascii="Times New Roman;Times;serif" w:hAnsi="Times New Roman;Times;serif"/>
          <w:b/>
          <w:sz w:val="20"/>
        </w:rPr>
        <w:t>NOTE 14 — INCOME TAXES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and its operating subsidiaries in the United States are subject to federal and various state income taxes. The Company elected to file income taxes as a corporation instead of an LLC for the tax years ended December 31, 2020 through December 31, 2024.</w:t>
      </w:r>
    </w:p>
    <w:tbl>
      <w:tblPr>
        <w:tblW w:w="3047" w:type="dxa"/>
        <w:jc w:val="left"/>
        <w:tblInd w:w="0" w:type="dxa"/>
        <w:tblLayout w:type="fixed"/>
        <w:tblCellMar>
          <w:top w:w="0" w:type="dxa"/>
          <w:left w:w="0" w:type="dxa"/>
          <w:bottom w:w="0" w:type="dxa"/>
          <w:right w:w="0" w:type="dxa"/>
        </w:tblCellMar>
      </w:tblPr>
      <w:tblGrid>
        <w:gridCol w:w="301"/>
        <w:gridCol w:w="2746"/>
      </w:tblGrid>
      <w:tr>
        <w:trPr/>
        <w:tc>
          <w:tcPr>
            <w:tcW w:w="301"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(i)</w:t>
            </w:r>
          </w:p>
        </w:tc>
        <w:tc>
          <w:tcPr>
            <w:tcW w:w="2746"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 xml:space="preserve">Loss before Income tax expense </w:t>
            </w:r>
          </w:p>
        </w:tc>
      </w:tr>
    </w:tbl>
    <w:p>
      <w:pPr>
        <w:pStyle w:val="TextBody"/>
        <w:pBdr/>
        <w:bidi w:val="0"/>
        <w:spacing w:before="0" w:after="0"/>
        <w:ind w:left="0" w:right="0" w:hanging="720"/>
        <w:jc w:val="both"/>
        <w:rPr/>
      </w:pPr>
      <w:r>
        <w:rPr/>
        <w:t>​</w:t>
      </w:r>
    </w:p>
    <w:tbl>
      <w:tblPr>
        <w:tblW w:w="7537" w:type="dxa"/>
        <w:jc w:val="left"/>
        <w:tblInd w:w="0" w:type="dxa"/>
        <w:tblLayout w:type="fixed"/>
        <w:tblCellMar>
          <w:top w:w="0" w:type="dxa"/>
          <w:left w:w="0" w:type="dxa"/>
          <w:bottom w:w="0" w:type="dxa"/>
          <w:right w:w="0" w:type="dxa"/>
        </w:tblCellMar>
      </w:tblPr>
      <w:tblGrid>
        <w:gridCol w:w="4426"/>
        <w:gridCol w:w="346"/>
        <w:gridCol w:w="211"/>
        <w:gridCol w:w="901"/>
        <w:gridCol w:w="346"/>
        <w:gridCol w:w="211"/>
        <w:gridCol w:w="1096"/>
      </w:tblGrid>
      <w:tr>
        <w:trPr/>
        <w:tc>
          <w:tcPr>
            <w:tcW w:w="4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810510" cy="175260"/>
                      <wp:effectExtent l="0" t="0" r="0" b="0"/>
                      <wp:wrapNone/>
                      <wp:docPr id="250" name="Frame250"/>
                      <a:graphic xmlns:a="http://schemas.openxmlformats.org/drawingml/2006/main">
                        <a:graphicData uri="http://schemas.microsoft.com/office/word/2010/wordprocessingShape">
                          <wps:wsp>
                            <wps:cNvSpPr txBox="1"/>
                            <wps:spPr>
                              <a:xfrm>
                                <a:off x="0" y="0"/>
                                <a:ext cx="2810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19710" cy="175260"/>
                      <wp:effectExtent l="0" t="0" r="0" b="0"/>
                      <wp:wrapNone/>
                      <wp:docPr id="251" name="Frame2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33985" cy="175260"/>
                      <wp:effectExtent l="0" t="0" r="0" b="0"/>
                      <wp:wrapNone/>
                      <wp:docPr id="252" name="Frame2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572135" cy="175260"/>
                      <wp:effectExtent l="0" t="0" r="0" b="0"/>
                      <wp:wrapNone/>
                      <wp:docPr id="253" name="Frame253"/>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19710" cy="175260"/>
                      <wp:effectExtent l="0" t="0" r="0" b="0"/>
                      <wp:wrapNone/>
                      <wp:docPr id="254" name="Frame2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33985" cy="175260"/>
                      <wp:effectExtent l="0" t="0" r="0" b="0"/>
                      <wp:wrapNone/>
                      <wp:docPr id="255" name="Frame2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95960" cy="175260"/>
                      <wp:effectExtent l="0" t="0" r="0" b="0"/>
                      <wp:wrapNone/>
                      <wp:docPr id="256" name="Frame256"/>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255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w:t>
            </w:r>
          </w:p>
        </w:tc>
      </w:tr>
      <w:tr>
        <w:trPr/>
        <w:tc>
          <w:tcPr>
            <w:tcW w:w="44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55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4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3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continuing operations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(539,610)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(1,248,095)</w:t>
            </w:r>
          </w:p>
        </w:tc>
      </w:tr>
    </w:tbl>
    <w:p>
      <w:pPr>
        <w:pStyle w:val="TextBody"/>
        <w:bidi w:val="0"/>
        <w:spacing w:before="0" w:after="0"/>
        <w:ind w:left="0" w:right="0" w:hanging="0"/>
        <w:jc w:val="left"/>
        <w:rPr/>
      </w:pPr>
      <w:r>
        <w:rPr/>
        <w:t>​</w:t>
      </w:r>
    </w:p>
    <w:tbl>
      <w:tblPr>
        <w:tblW w:w="5462" w:type="dxa"/>
        <w:jc w:val="left"/>
        <w:tblInd w:w="0" w:type="dxa"/>
        <w:tblLayout w:type="fixed"/>
        <w:tblCellMar>
          <w:top w:w="0" w:type="dxa"/>
          <w:left w:w="0" w:type="dxa"/>
          <w:bottom w:w="0" w:type="dxa"/>
          <w:right w:w="0" w:type="dxa"/>
        </w:tblCellMar>
      </w:tblPr>
      <w:tblGrid>
        <w:gridCol w:w="361"/>
        <w:gridCol w:w="5101"/>
      </w:tblGrid>
      <w:tr>
        <w:trPr/>
        <w:tc>
          <w:tcPr>
            <w:tcW w:w="361"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(ii)</w:t>
            </w:r>
          </w:p>
        </w:tc>
        <w:tc>
          <w:tcPr>
            <w:tcW w:w="5101"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The components of the income tax provision were as follows:</w:t>
            </w:r>
          </w:p>
        </w:tc>
      </w:tr>
    </w:tbl>
    <w:p>
      <w:pPr>
        <w:pStyle w:val="TextBody"/>
        <w:bidi w:val="0"/>
        <w:spacing w:before="0" w:after="240"/>
        <w:ind w:left="0" w:right="0" w:hanging="0"/>
        <w:jc w:val="both"/>
        <w:rPr/>
      </w:pPr>
      <w:r>
        <w:rPr/>
        <w:t>​</w:t>
      </w:r>
    </w:p>
    <w:tbl>
      <w:tblPr>
        <w:tblW w:w="6315" w:type="dxa"/>
        <w:jc w:val="left"/>
        <w:tblInd w:w="0" w:type="dxa"/>
        <w:tblLayout w:type="fixed"/>
        <w:tblCellMar>
          <w:top w:w="0" w:type="dxa"/>
          <w:left w:w="0" w:type="dxa"/>
          <w:bottom w:w="0" w:type="dxa"/>
          <w:right w:w="0" w:type="dxa"/>
        </w:tblCellMar>
      </w:tblPr>
      <w:tblGrid>
        <w:gridCol w:w="3886"/>
        <w:gridCol w:w="346"/>
        <w:gridCol w:w="233"/>
        <w:gridCol w:w="632"/>
        <w:gridCol w:w="120"/>
        <w:gridCol w:w="233"/>
        <w:gridCol w:w="865"/>
      </w:tblGrid>
      <w:tr>
        <w:trPr/>
        <w:tc>
          <w:tcPr>
            <w:tcW w:w="3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467610" cy="175260"/>
                      <wp:effectExtent l="0" t="0" r="0" b="0"/>
                      <wp:wrapNone/>
                      <wp:docPr id="257" name="Frame257"/>
                      <a:graphic xmlns:a="http://schemas.openxmlformats.org/drawingml/2006/main">
                        <a:graphicData uri="http://schemas.microsoft.com/office/word/2010/wordprocessingShape">
                          <wps:wsp>
                            <wps:cNvSpPr txBox="1"/>
                            <wps:spPr>
                              <a:xfrm>
                                <a:off x="0" y="0"/>
                                <a:ext cx="2467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19710" cy="175260"/>
                      <wp:effectExtent l="0" t="0" r="0" b="0"/>
                      <wp:wrapNone/>
                      <wp:docPr id="258" name="Frame2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47955" cy="175260"/>
                      <wp:effectExtent l="0" t="0" r="0" b="0"/>
                      <wp:wrapNone/>
                      <wp:docPr id="259" name="Frame259"/>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401320" cy="175260"/>
                      <wp:effectExtent l="0" t="0" r="0" b="0"/>
                      <wp:wrapNone/>
                      <wp:docPr id="260" name="Frame260"/>
                      <a:graphic xmlns:a="http://schemas.openxmlformats.org/drawingml/2006/main">
                        <a:graphicData uri="http://schemas.microsoft.com/office/word/2010/wordprocessingShape">
                          <wps:wsp>
                            <wps:cNvSpPr txBox="1"/>
                            <wps:spPr>
                              <a:xfrm>
                                <a:off x="0" y="0"/>
                                <a:ext cx="401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76200" cy="175260"/>
                      <wp:effectExtent l="0" t="0" r="0" b="0"/>
                      <wp:wrapNone/>
                      <wp:docPr id="261" name="Frame261"/>
                      <a:graphic xmlns:a="http://schemas.openxmlformats.org/drawingml/2006/main">
                        <a:graphicData uri="http://schemas.microsoft.com/office/word/2010/wordprocessingShape">
                          <wps:wsp>
                            <wps:cNvSpPr txBox="1"/>
                            <wps:spPr>
                              <a:xfrm>
                                <a:off x="0" y="0"/>
                                <a:ext cx="76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47955" cy="175260"/>
                      <wp:effectExtent l="0" t="0" r="0" b="0"/>
                      <wp:wrapNone/>
                      <wp:docPr id="262" name="Frame262"/>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549275" cy="175260"/>
                      <wp:effectExtent l="0" t="0" r="0" b="0"/>
                      <wp:wrapNone/>
                      <wp:docPr id="263" name="Frame263"/>
                      <a:graphic xmlns:a="http://schemas.openxmlformats.org/drawingml/2006/main">
                        <a:graphicData uri="http://schemas.microsoft.com/office/word/2010/wordprocessingShape">
                          <wps:wsp>
                            <wps:cNvSpPr txBox="1"/>
                            <wps:spPr>
                              <a:xfrm>
                                <a:off x="0" y="0"/>
                                <a:ext cx="549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083"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38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08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8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20" w:type="dxa"/>
            <w:tcBorders/>
            <w:vAlign w:val="center"/>
          </w:tcPr>
          <w:p>
            <w:pPr>
              <w:pStyle w:val="TableContents"/>
              <w:bidi w:val="0"/>
              <w:spacing w:before="0" w:after="1"/>
              <w:ind w:left="0" w:right="0" w:hanging="0"/>
              <w:jc w:val="center"/>
              <w:rPr/>
            </w:pPr>
            <w:r>
              <w:rPr/>
              <w:t>​</w:t>
            </w:r>
          </w:p>
        </w:tc>
        <w:tc>
          <w:tcPr>
            <w:tcW w:w="109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w:t>
            </w:r>
          </w:p>
        </w:tc>
        <w:tc>
          <w:tcPr>
            <w:tcW w:w="346" w:type="dxa"/>
            <w:tcBorders/>
            <w:shd w:fill="CCEEFF" w:val="clear"/>
            <w:vAlign w:val="center"/>
          </w:tcPr>
          <w:p>
            <w:pPr>
              <w:pStyle w:val="TableContents"/>
              <w:bidi w:val="0"/>
              <w:spacing w:before="0" w:after="1"/>
              <w:ind w:left="0" w:right="0" w:hanging="0"/>
              <w:jc w:val="left"/>
              <w:rPr/>
            </w:pPr>
            <w:r>
              <w:rPr/>
              <w:t> </w:t>
            </w:r>
          </w:p>
        </w:tc>
        <w:tc>
          <w:tcPr>
            <w:tcW w:w="233" w:type="dxa"/>
            <w:tcBorders/>
            <w:shd w:fill="CCEEFF" w:val="clear"/>
            <w:vAlign w:val="center"/>
          </w:tcPr>
          <w:p>
            <w:pPr>
              <w:pStyle w:val="TableContents"/>
              <w:bidi w:val="0"/>
              <w:spacing w:before="0" w:after="1"/>
              <w:ind w:left="0" w:right="0" w:hanging="0"/>
              <w:jc w:val="left"/>
              <w:rPr/>
            </w:pPr>
            <w:r>
              <w:rPr/>
              <w:t>​</w:t>
            </w:r>
          </w:p>
        </w:tc>
        <w:tc>
          <w:tcPr>
            <w:tcW w:w="632" w:type="dxa"/>
            <w:tcBorders/>
            <w:shd w:fill="CCEEFF" w:val="clear"/>
            <w:vAlign w:val="center"/>
          </w:tcPr>
          <w:p>
            <w:pPr>
              <w:pStyle w:val="TableContents"/>
              <w:bidi w:val="0"/>
              <w:spacing w:before="0" w:after="1"/>
              <w:ind w:left="0" w:right="0" w:hanging="0"/>
              <w:jc w:val="right"/>
              <w:rPr/>
            </w:pPr>
            <w:r>
              <w:rPr/>
              <w:t>​</w:t>
            </w:r>
          </w:p>
        </w:tc>
        <w:tc>
          <w:tcPr>
            <w:tcW w:w="120"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865" w:type="dxa"/>
            <w:tcBorders/>
            <w:shd w:fill="CCEEFF" w:val="clear"/>
            <w:vAlign w:val="center"/>
          </w:tcPr>
          <w:p>
            <w:pPr>
              <w:pStyle w:val="TableContents"/>
              <w:bidi w:val="0"/>
              <w:spacing w:before="0" w:after="1"/>
              <w:ind w:left="0" w:right="0" w:hanging="0"/>
              <w:jc w:val="right"/>
              <w:rPr/>
            </w:pPr>
            <w:r>
              <w:rPr/>
              <w:t>​</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Federal</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2" w:type="dxa"/>
            <w:tcBorders/>
            <w:vAlign w:val="center"/>
          </w:tcPr>
          <w:p>
            <w:pPr>
              <w:pStyle w:val="TableContents"/>
              <w:bidi w:val="0"/>
              <w:spacing w:before="0" w:after="1"/>
              <w:ind w:left="0" w:right="0" w:hanging="0"/>
              <w:jc w:val="right"/>
              <w:rPr/>
            </w:pPr>
            <w:r>
              <w:rPr/>
              <w:t>—</w:t>
            </w:r>
          </w:p>
        </w:tc>
        <w:tc>
          <w:tcPr>
            <w:tcW w:w="120"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vAlign w:val="center"/>
          </w:tcPr>
          <w:p>
            <w:pPr>
              <w:pStyle w:val="TableContents"/>
              <w:bidi w:val="0"/>
              <w:spacing w:before="0" w:after="1"/>
              <w:ind w:left="0" w:right="0" w:hanging="0"/>
              <w:jc w:val="right"/>
              <w:rPr/>
            </w:pPr>
            <w:r>
              <w:rPr/>
              <w:t>—</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State</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3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5,610</w:t>
            </w:r>
          </w:p>
        </w:tc>
        <w:tc>
          <w:tcPr>
            <w:tcW w:w="120"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6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5,200</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income tax provision</w:t>
            </w:r>
          </w:p>
        </w:tc>
        <w:tc>
          <w:tcPr>
            <w:tcW w:w="346"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5,610</w:t>
            </w:r>
          </w:p>
        </w:tc>
        <w:tc>
          <w:tcPr>
            <w:tcW w:w="120"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5,200</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632" w:type="dxa"/>
            <w:tcBorders/>
            <w:shd w:fill="CCEEFF" w:val="clear"/>
            <w:vAlign w:val="center"/>
          </w:tcPr>
          <w:p>
            <w:pPr>
              <w:pStyle w:val="TableContents"/>
              <w:bidi w:val="0"/>
              <w:spacing w:before="0" w:after="1"/>
              <w:ind w:left="0" w:right="0" w:hanging="0"/>
              <w:jc w:val="right"/>
              <w:rPr/>
            </w:pPr>
            <w:r>
              <w:rPr/>
              <w:t>​</w:t>
            </w:r>
          </w:p>
        </w:tc>
        <w:tc>
          <w:tcPr>
            <w:tcW w:w="120"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865" w:type="dxa"/>
            <w:tcBorders/>
            <w:shd w:fill="CCEEFF" w:val="clear"/>
            <w:vAlign w:val="center"/>
          </w:tcPr>
          <w:p>
            <w:pPr>
              <w:pStyle w:val="TableContents"/>
              <w:bidi w:val="0"/>
              <w:spacing w:before="0" w:after="1"/>
              <w:ind w:left="0" w:right="0" w:hanging="0"/>
              <w:jc w:val="right"/>
              <w:rPr/>
            </w:pPr>
            <w:r>
              <w:rPr/>
              <w:t>​</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Federal</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632" w:type="dxa"/>
            <w:tcBorders/>
            <w:vAlign w:val="center"/>
          </w:tcPr>
          <w:p>
            <w:pPr>
              <w:pStyle w:val="TableContents"/>
              <w:bidi w:val="0"/>
              <w:spacing w:before="0" w:after="1"/>
              <w:ind w:left="0" w:right="0" w:hanging="0"/>
              <w:jc w:val="right"/>
              <w:rPr/>
            </w:pPr>
            <w:r>
              <w:rPr/>
              <w:t>—</w:t>
            </w:r>
          </w:p>
        </w:tc>
        <w:tc>
          <w:tcPr>
            <w:tcW w:w="120"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865" w:type="dxa"/>
            <w:tcBorders/>
            <w:vAlign w:val="center"/>
          </w:tcPr>
          <w:p>
            <w:pPr>
              <w:pStyle w:val="TableContents"/>
              <w:bidi w:val="0"/>
              <w:spacing w:before="0" w:after="1"/>
              <w:ind w:left="0" w:right="0" w:hanging="0"/>
              <w:jc w:val="right"/>
              <w:rPr/>
            </w:pPr>
            <w:r>
              <w:rPr/>
              <w:t>—</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State</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3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20"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6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deferred income tax expenses</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632" w:type="dxa"/>
            <w:tcBorders/>
            <w:vAlign w:val="center"/>
          </w:tcPr>
          <w:p>
            <w:pPr>
              <w:pStyle w:val="TableContents"/>
              <w:bidi w:val="0"/>
              <w:spacing w:before="0" w:after="1"/>
              <w:ind w:left="0" w:right="0" w:hanging="0"/>
              <w:jc w:val="right"/>
              <w:rPr/>
            </w:pPr>
            <w:r>
              <w:rPr/>
              <w:t>—</w:t>
            </w:r>
          </w:p>
        </w:tc>
        <w:tc>
          <w:tcPr>
            <w:tcW w:w="120"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865" w:type="dxa"/>
            <w:tcBorders/>
            <w:vAlign w:val="center"/>
          </w:tcPr>
          <w:p>
            <w:pPr>
              <w:pStyle w:val="TableContents"/>
              <w:bidi w:val="0"/>
              <w:spacing w:before="0" w:after="1"/>
              <w:ind w:left="0" w:right="0" w:hanging="0"/>
              <w:jc w:val="right"/>
              <w:rPr/>
            </w:pPr>
            <w:r>
              <w:rPr/>
              <w:t>—</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Adjustments related to prior year 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632" w:type="dxa"/>
            <w:tcBorders/>
            <w:shd w:fill="CCEEFF" w:val="clear"/>
            <w:vAlign w:val="center"/>
          </w:tcPr>
          <w:p>
            <w:pPr>
              <w:pStyle w:val="TableContents"/>
              <w:bidi w:val="0"/>
              <w:spacing w:before="0" w:after="1"/>
              <w:ind w:left="0" w:right="0" w:hanging="0"/>
              <w:jc w:val="right"/>
              <w:rPr/>
            </w:pPr>
            <w:r>
              <w:rPr/>
              <w:t>—</w:t>
            </w:r>
          </w:p>
        </w:tc>
        <w:tc>
          <w:tcPr>
            <w:tcW w:w="120"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8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13,142</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income tax provision</w:t>
            </w:r>
          </w:p>
        </w:tc>
        <w:tc>
          <w:tcPr>
            <w:tcW w:w="346" w:type="dxa"/>
            <w:tcBorders/>
            <w:vAlign w:val="center"/>
          </w:tcPr>
          <w:p>
            <w:pPr>
              <w:pStyle w:val="TableContents"/>
              <w:bidi w:val="0"/>
              <w:spacing w:before="0" w:after="1"/>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5,610</w:t>
            </w:r>
          </w:p>
        </w:tc>
        <w:tc>
          <w:tcPr>
            <w:tcW w:w="120" w:type="dxa"/>
            <w:tcBorders/>
            <w:vAlign w:val="center"/>
          </w:tcPr>
          <w:p>
            <w:pPr>
              <w:pStyle w:val="TableContents"/>
              <w:bidi w:val="0"/>
              <w:spacing w:before="0" w:after="1"/>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18,342</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consolidated statement of operations reflects income tax expense of approximately $5,610 for the six months ended June 30, 2026, which primarily consists of $4,400 of income tax expense recorded during the first quarter of 2026 and approximately $2,000 of tax payments related to prior periods and acquisition-related tax filings upon the filing of 2025 tax returns in April 2026, partially offset by an income tax benefit of approximately $790 recorded during the second quarter of 2026. Payments made to settle previously recorded tax liabilities do not impact the Company’s estimated annual effective tax rate for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consolidated statement of operations reflects income tax expense of approximately $18,342 for the six months ended June 30, 2025, which includes tax provision of $5,200 during the second quarter of 2025, and approximately $13,142 of tax payments related to prior periods and acquisition-related tax filings upon the filing of 2024 tax returns in April 2025. These additional amounts primarily consist of: (i) $2,155 of tax obligations owed by Cheetah for the 2024 tax year, (ii) $1,101 of pre-acquisition tax obligations of Edward, and (iii) $9,886 of pre-acquisition tax obligations of TWEW. These payments do not impact the Company’s estimated annual effective tax rate for 2025.</w:t>
      </w:r>
    </w:p>
    <w:tbl>
      <w:tblPr>
        <w:tblW w:w="8372" w:type="dxa"/>
        <w:jc w:val="left"/>
        <w:tblInd w:w="0" w:type="dxa"/>
        <w:tblLayout w:type="fixed"/>
        <w:tblCellMar>
          <w:top w:w="0" w:type="dxa"/>
          <w:left w:w="0" w:type="dxa"/>
          <w:bottom w:w="0" w:type="dxa"/>
          <w:right w:w="0" w:type="dxa"/>
        </w:tblCellMar>
      </w:tblPr>
      <w:tblGrid>
        <w:gridCol w:w="421"/>
        <w:gridCol w:w="7951"/>
      </w:tblGrid>
      <w:tr>
        <w:trPr/>
        <w:tc>
          <w:tcPr>
            <w:tcW w:w="421"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(iii)</w:t>
            </w:r>
          </w:p>
        </w:tc>
        <w:tc>
          <w:tcPr>
            <w:tcW w:w="7951"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Reconciliations of the statutory income tax rate to the effective income tax rate were as follows:</w:t>
            </w:r>
          </w:p>
        </w:tc>
      </w:tr>
    </w:tbl>
    <w:p>
      <w:pPr>
        <w:pStyle w:val="TextBody"/>
        <w:bidi w:val="0"/>
        <w:spacing w:before="0" w:after="240"/>
        <w:ind w:left="0" w:right="0" w:hanging="0"/>
        <w:jc w:val="both"/>
        <w:rPr/>
      </w:pPr>
      <w:r>
        <w:rPr/>
        <w:t>​</w:t>
      </w:r>
    </w:p>
    <w:tbl>
      <w:tblPr>
        <w:tblW w:w="6046" w:type="dxa"/>
        <w:jc w:val="left"/>
        <w:tblInd w:w="0" w:type="dxa"/>
        <w:tblLayout w:type="fixed"/>
        <w:tblCellMar>
          <w:top w:w="0" w:type="dxa"/>
          <w:left w:w="0" w:type="dxa"/>
          <w:bottom w:w="0" w:type="dxa"/>
          <w:right w:w="0" w:type="dxa"/>
        </w:tblCellMar>
      </w:tblPr>
      <w:tblGrid>
        <w:gridCol w:w="3271"/>
        <w:gridCol w:w="346"/>
        <w:gridCol w:w="128"/>
        <w:gridCol w:w="688"/>
        <w:gridCol w:w="406"/>
        <w:gridCol w:w="128"/>
        <w:gridCol w:w="688"/>
        <w:gridCol w:w="391"/>
      </w:tblGrid>
      <w:tr>
        <w:trPr/>
        <w:tc>
          <w:tcPr>
            <w:tcW w:w="3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077085" cy="175260"/>
                      <wp:effectExtent l="0" t="0" r="0" b="0"/>
                      <wp:wrapNone/>
                      <wp:docPr id="264" name="Frame264"/>
                      <a:graphic xmlns:a="http://schemas.openxmlformats.org/drawingml/2006/main">
                        <a:graphicData uri="http://schemas.microsoft.com/office/word/2010/wordprocessingShape">
                          <wps:wsp>
                            <wps:cNvSpPr txBox="1"/>
                            <wps:spPr>
                              <a:xfrm>
                                <a:off x="0" y="0"/>
                                <a:ext cx="2077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19710" cy="175260"/>
                      <wp:effectExtent l="0" t="0" r="0" b="0"/>
                      <wp:wrapNone/>
                      <wp:docPr id="265" name="Frame2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81280" cy="175260"/>
                      <wp:effectExtent l="0" t="0" r="0" b="0"/>
                      <wp:wrapNone/>
                      <wp:docPr id="266" name="Frame266"/>
                      <a:graphic xmlns:a="http://schemas.openxmlformats.org/drawingml/2006/main">
                        <a:graphicData uri="http://schemas.microsoft.com/office/word/2010/wordprocessingShape">
                          <wps:wsp>
                            <wps:cNvSpPr txBox="1"/>
                            <wps:spPr>
                              <a:xfrm>
                                <a:off x="0" y="0"/>
                                <a:ext cx="81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436880" cy="175260"/>
                      <wp:effectExtent l="0" t="0" r="0" b="0"/>
                      <wp:wrapNone/>
                      <wp:docPr id="267" name="Frame267"/>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57810" cy="175260"/>
                      <wp:effectExtent l="0" t="0" r="0" b="0"/>
                      <wp:wrapNone/>
                      <wp:docPr id="268" name="Frame268"/>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81280" cy="175260"/>
                      <wp:effectExtent l="0" t="0" r="0" b="0"/>
                      <wp:wrapNone/>
                      <wp:docPr id="269" name="Frame269"/>
                      <a:graphic xmlns:a="http://schemas.openxmlformats.org/drawingml/2006/main">
                        <a:graphicData uri="http://schemas.microsoft.com/office/word/2010/wordprocessingShape">
                          <wps:wsp>
                            <wps:cNvSpPr txBox="1"/>
                            <wps:spPr>
                              <a:xfrm>
                                <a:off x="0" y="0"/>
                                <a:ext cx="81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436880" cy="175260"/>
                      <wp:effectExtent l="0" t="0" r="0" b="0"/>
                      <wp:wrapNone/>
                      <wp:docPr id="270" name="Frame270"/>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48285" cy="175260"/>
                      <wp:effectExtent l="0" t="0" r="0" b="0"/>
                      <wp:wrapNone/>
                      <wp:docPr id="271" name="Frame271"/>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03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c>
          <w:tcPr>
            <w:tcW w:w="391" w:type="dxa"/>
            <w:tcBorders/>
            <w:vAlign w:val="center"/>
          </w:tcPr>
          <w:p>
            <w:pPr>
              <w:pStyle w:val="TableContents"/>
              <w:bidi w:val="0"/>
              <w:spacing w:before="0" w:after="0"/>
              <w:ind w:left="0" w:right="0" w:hanging="0"/>
              <w:jc w:val="center"/>
              <w:rPr/>
            </w:pPr>
            <w:r>
              <w:rPr/>
              <w:t> </w:t>
            </w:r>
          </w:p>
        </w:tc>
      </w:tr>
      <w:tr>
        <w:trPr/>
        <w:tc>
          <w:tcPr>
            <w:tcW w:w="32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0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91" w:type="dxa"/>
            <w:tcBorders/>
            <w:vAlign w:val="center"/>
          </w:tcPr>
          <w:p>
            <w:pPr>
              <w:pStyle w:val="TableContents"/>
              <w:bidi w:val="0"/>
              <w:spacing w:before="0" w:after="0"/>
              <w:ind w:left="0" w:right="0" w:hanging="0"/>
              <w:jc w:val="center"/>
              <w:rPr/>
            </w:pPr>
            <w:r>
              <w:rPr/>
              <w:t>​</w:t>
            </w:r>
          </w:p>
        </w:tc>
      </w:tr>
      <w:tr>
        <w:trPr/>
        <w:tc>
          <w:tcPr>
            <w:tcW w:w="32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06" w:type="dxa"/>
            <w:tcBorders/>
            <w:vAlign w:val="center"/>
          </w:tcPr>
          <w:p>
            <w:pPr>
              <w:pStyle w:val="TableContents"/>
              <w:bidi w:val="0"/>
              <w:spacing w:before="0" w:after="0"/>
              <w:ind w:left="0" w:right="0" w:hanging="0"/>
              <w:jc w:val="center"/>
              <w:rPr/>
            </w:pPr>
            <w:r>
              <w:rPr/>
              <w:t>  ​ ​ ​</w:t>
            </w:r>
          </w:p>
        </w:tc>
        <w:tc>
          <w:tcPr>
            <w:tcW w:w="8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0"/>
              <w:ind w:left="0" w:right="0" w:hanging="0"/>
              <w:jc w:val="center"/>
              <w:rPr/>
            </w:pPr>
            <w:r>
              <w:rPr/>
              <w:t>  ​ ​ ​</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 income tax at the statutory rate</w:t>
            </w:r>
          </w:p>
        </w:tc>
        <w:tc>
          <w:tcPr>
            <w:tcW w:w="346" w:type="dxa"/>
            <w:tcBorders/>
            <w:shd w:fill="CCEEFF" w:val="clear"/>
            <w:vAlign w:val="center"/>
          </w:tcPr>
          <w:p>
            <w:pPr>
              <w:pStyle w:val="TableContents"/>
              <w:bidi w:val="0"/>
              <w:spacing w:before="0" w:after="0"/>
              <w:ind w:left="0" w:right="0" w:hanging="0"/>
              <w:jc w:val="center"/>
              <w:rPr/>
            </w:pPr>
            <w:r>
              <w:rPr/>
              <w:t>​</w:t>
            </w:r>
          </w:p>
        </w:tc>
        <w:tc>
          <w:tcPr>
            <w:tcW w:w="128" w:type="dxa"/>
            <w:tcBorders/>
            <w:shd w:fill="CCEEFF" w:val="clear"/>
            <w:vAlign w:val="center"/>
          </w:tcPr>
          <w:p>
            <w:pPr>
              <w:pStyle w:val="TableContents"/>
              <w:bidi w:val="0"/>
              <w:spacing w:before="0" w:after="0"/>
              <w:ind w:left="0" w:right="0" w:hanging="0"/>
              <w:jc w:val="left"/>
              <w:rPr/>
            </w:pPr>
            <w:r>
              <w:rPr/>
              <w:t>​</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128" w:type="dxa"/>
            <w:tcBorders/>
            <w:shd w:fill="CCEEFF" w:val="clear"/>
            <w:vAlign w:val="center"/>
          </w:tcPr>
          <w:p>
            <w:pPr>
              <w:pStyle w:val="TableContents"/>
              <w:bidi w:val="0"/>
              <w:spacing w:before="0" w:after="0"/>
              <w:ind w:left="0" w:right="0" w:hanging="0"/>
              <w:jc w:val="left"/>
              <w:rPr/>
            </w:pPr>
            <w:r>
              <w:rPr/>
              <w:t>​</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 statutory tax rate</w:t>
            </w:r>
          </w:p>
        </w:tc>
        <w:tc>
          <w:tcPr>
            <w:tcW w:w="346" w:type="dxa"/>
            <w:tcBorders/>
            <w:vAlign w:val="center"/>
          </w:tcPr>
          <w:p>
            <w:pPr>
              <w:pStyle w:val="TableContents"/>
              <w:bidi w:val="0"/>
              <w:spacing w:before="0" w:after="0"/>
              <w:ind w:left="0" w:right="0" w:hanging="0"/>
              <w:jc w:val="left"/>
              <w:rPr/>
            </w:pPr>
            <w:r>
              <w:rPr/>
              <w:t> </w:t>
            </w:r>
          </w:p>
        </w:tc>
        <w:tc>
          <w:tcPr>
            <w:tcW w:w="128" w:type="dxa"/>
            <w:tcBorders/>
            <w:vAlign w:val="center"/>
          </w:tcPr>
          <w:p>
            <w:pPr>
              <w:pStyle w:val="TableContents"/>
              <w:bidi w:val="0"/>
              <w:spacing w:before="0" w:after="0"/>
              <w:ind w:left="0" w:right="0" w:hanging="0"/>
              <w:jc w:val="right"/>
              <w:rPr/>
            </w:pPr>
            <w:r>
              <w:rPr/>
              <w:t>​</w:t>
            </w:r>
          </w:p>
        </w:tc>
        <w:tc>
          <w:tcPr>
            <w:tcW w:w="6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128" w:type="dxa"/>
            <w:tcBorders/>
            <w:vAlign w:val="center"/>
          </w:tcPr>
          <w:p>
            <w:pPr>
              <w:pStyle w:val="TableContents"/>
              <w:bidi w:val="0"/>
              <w:spacing w:before="0" w:after="0"/>
              <w:ind w:left="0" w:right="0" w:hanging="0"/>
              <w:jc w:val="right"/>
              <w:rPr/>
            </w:pPr>
            <w:r>
              <w:rPr/>
              <w:t>​</w:t>
            </w:r>
          </w:p>
        </w:tc>
        <w:tc>
          <w:tcPr>
            <w:tcW w:w="6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Permanent Items</w:t>
            </w:r>
          </w:p>
        </w:tc>
        <w:tc>
          <w:tcPr>
            <w:tcW w:w="346" w:type="dxa"/>
            <w:tcBorders/>
            <w:shd w:fill="CCEEFF" w:val="clear"/>
            <w:vAlign w:val="center"/>
          </w:tcPr>
          <w:p>
            <w:pPr>
              <w:pStyle w:val="TableContents"/>
              <w:bidi w:val="0"/>
              <w:spacing w:before="0" w:after="0"/>
              <w:ind w:left="0" w:right="0" w:hanging="0"/>
              <w:jc w:val="left"/>
              <w:rPr/>
            </w:pPr>
            <w:r>
              <w:rPr/>
              <w:t> </w:t>
            </w:r>
          </w:p>
        </w:tc>
        <w:tc>
          <w:tcPr>
            <w:tcW w:w="128" w:type="dxa"/>
            <w:tcBorders/>
            <w:shd w:fill="CCEEFF" w:val="clear"/>
            <w:vAlign w:val="center"/>
          </w:tcPr>
          <w:p>
            <w:pPr>
              <w:pStyle w:val="TableContents"/>
              <w:bidi w:val="0"/>
              <w:spacing w:before="0" w:after="0"/>
              <w:ind w:left="0" w:right="0" w:hanging="0"/>
              <w:jc w:val="right"/>
              <w:rPr/>
            </w:pPr>
            <w:r>
              <w:rPr/>
              <w:t>​</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128" w:type="dxa"/>
            <w:tcBorders/>
            <w:shd w:fill="CCEEFF" w:val="clear"/>
            <w:vAlign w:val="center"/>
          </w:tcPr>
          <w:p>
            <w:pPr>
              <w:pStyle w:val="TableContents"/>
              <w:bidi w:val="0"/>
              <w:spacing w:before="0" w:after="0"/>
              <w:ind w:left="0" w:right="0" w:hanging="0"/>
              <w:jc w:val="right"/>
              <w:rPr/>
            </w:pPr>
            <w:r>
              <w:rPr/>
              <w:t>​</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valuation allowance</w:t>
            </w:r>
          </w:p>
        </w:tc>
        <w:tc>
          <w:tcPr>
            <w:tcW w:w="346" w:type="dxa"/>
            <w:tcBorders/>
            <w:vAlign w:val="center"/>
          </w:tcPr>
          <w:p>
            <w:pPr>
              <w:pStyle w:val="TableContents"/>
              <w:bidi w:val="0"/>
              <w:spacing w:before="0" w:after="0"/>
              <w:ind w:left="0" w:right="0" w:hanging="0"/>
              <w:jc w:val="left"/>
              <w:rPr/>
            </w:pPr>
            <w:r>
              <w:rPr/>
              <w:t> </w:t>
            </w:r>
          </w:p>
        </w:tc>
        <w:tc>
          <w:tcPr>
            <w:tcW w:w="128" w:type="dxa"/>
            <w:tcBorders/>
            <w:vAlign w:val="center"/>
          </w:tcPr>
          <w:p>
            <w:pPr>
              <w:pStyle w:val="TableContents"/>
              <w:bidi w:val="0"/>
              <w:spacing w:before="0" w:after="0"/>
              <w:ind w:left="0" w:right="0" w:hanging="0"/>
              <w:jc w:val="right"/>
              <w:rPr/>
            </w:pPr>
            <w:r>
              <w:rPr/>
              <w:t>​</w:t>
            </w:r>
          </w:p>
        </w:tc>
        <w:tc>
          <w:tcPr>
            <w:tcW w:w="6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128" w:type="dxa"/>
            <w:tcBorders/>
            <w:vAlign w:val="center"/>
          </w:tcPr>
          <w:p>
            <w:pPr>
              <w:pStyle w:val="TableContents"/>
              <w:bidi w:val="0"/>
              <w:spacing w:before="0" w:after="0"/>
              <w:ind w:left="0" w:right="0" w:hanging="0"/>
              <w:jc w:val="right"/>
              <w:rPr/>
            </w:pPr>
            <w:r>
              <w:rPr/>
              <w:t>​</w:t>
            </w:r>
          </w:p>
        </w:tc>
        <w:tc>
          <w:tcPr>
            <w:tcW w:w="6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1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1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Effective tax rate</w:t>
            </w:r>
          </w:p>
        </w:tc>
        <w:tc>
          <w:tcPr>
            <w:tcW w:w="346" w:type="dxa"/>
            <w:tcBorders/>
            <w:vAlign w:val="center"/>
          </w:tcPr>
          <w:p>
            <w:pPr>
              <w:pStyle w:val="TableContents"/>
              <w:bidi w:val="0"/>
              <w:spacing w:before="0" w:after="0"/>
              <w:ind w:left="0" w:right="0" w:hanging="0"/>
              <w:jc w:val="left"/>
              <w:rPr/>
            </w:pPr>
            <w:r>
              <w:rPr/>
              <w:t>​</w:t>
            </w:r>
          </w:p>
        </w:tc>
        <w:tc>
          <w:tcPr>
            <w:tcW w:w="128"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8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128"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8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179" w:name="Tc_JsD5mpm0GkGSrS-78dQybw_20_5"/>
      <w:bookmarkStart w:id="1180" w:name="Tc_ivE4BDUBlEKLIDKY8dL45w_20_2"/>
      <w:bookmarkStart w:id="1181" w:name="Tc_ke6QyYU6BESV_b6SUsq5qg_20_0"/>
      <w:bookmarkStart w:id="1182" w:name="Tc_0fiBEHQeHUSsvb-5afoVfQ_18_0"/>
      <w:bookmarkStart w:id="1183" w:name="Tc_B7uHofirAkGmlsRKsrTrJw_17_0"/>
      <w:bookmarkStart w:id="1184" w:name="Tc_vnuwH0zea0mV7x3OBREWJw_16_6"/>
      <w:bookmarkStart w:id="1185" w:name="Tc_RJsH1GJLv0SJfRRBFeltIw_16_0"/>
      <w:bookmarkStart w:id="1186" w:name="Tc_8u7svFiMfUmVDoSBgpeZJQ_15_6"/>
      <w:bookmarkStart w:id="1187" w:name="Tc_guYCjvYVfk6au5bbdLZ2VQ_15_0"/>
      <w:bookmarkStart w:id="1188" w:name="Tc_3P4HNAYnRU2cHWVrLBtllQ_14_0"/>
      <w:bookmarkStart w:id="1189" w:name="Tc_v2t7ATiPGEKAIjrfg4ZqqA_13_0"/>
      <w:bookmarkStart w:id="1190" w:name="Tc_jQ77KL6djUOWbgr25Z5pYA_11_0"/>
      <w:bookmarkStart w:id="1191" w:name="Tc_hhR4pvXYYkG_N4Mj73nZmg_10_0"/>
      <w:bookmarkStart w:id="1192" w:name="Tc_4uwLaBeKNkaaO88ZsZ0nKQ_8_0"/>
      <w:bookmarkStart w:id="1193" w:name="Tc_S_dNA-avB0uLP2MnEWKCTA_7_0"/>
      <w:bookmarkStart w:id="1194" w:name="Tc_3ntSNDvarku66_kp28Z3Uw_6_0"/>
      <w:bookmarkStart w:id="1195" w:name="Tc_7mHMT8h2t0CoGuoBamCV3w_5_6"/>
      <w:bookmarkStart w:id="1196" w:name="Tc_UQKyArNoLEKdIcIw8MmJxg_5_0"/>
      <w:bookmarkStart w:id="1197" w:name="Tc_R2t7wVXL6UmCtRBL6Zjq-A_4_5"/>
      <w:bookmarkStart w:id="1198" w:name="Tc_jtO9934_MUG5MnrcI5inyQ_4_3"/>
      <w:bookmarkStart w:id="1199" w:name="Tc_2HfzY1BHIky7GjGBf-vUvg_4_2"/>
      <w:bookmarkStart w:id="1200" w:name="Tc_KLfouknxVkiWnJ_XH8ujwA_4_0"/>
      <w:bookmarkStart w:id="1201" w:name="Tc_9MT39DvCpkKnl81eFzBlKA_3_0"/>
      <w:bookmarkStart w:id="1202" w:name="Tc_re_Kl-L7X02iRowQhDxs2A_2_5"/>
      <w:bookmarkStart w:id="1203" w:name="Tc_Yucb-V9jCECSFTSNEzQ1_Q_2_2"/>
      <w:bookmarkStart w:id="1204" w:name="Tc_YdXWQHlLBki2SGX9-FXYrQ_1_5"/>
      <w:bookmarkStart w:id="1205" w:name="Tc_bRaFbrSoUkSZkgwkrsVbmQ_1_2"/>
      <w:bookmarkStart w:id="1206" w:name="Tc_JsD5mpm0GkGSrS-78dQybw_20_5"/>
      <w:bookmarkStart w:id="1207" w:name="Tc_ivE4BDUBlEKLIDKY8dL45w_20_2"/>
      <w:bookmarkStart w:id="1208" w:name="Tc_ke6QyYU6BESV_b6SUsq5qg_20_0"/>
      <w:bookmarkStart w:id="1209" w:name="Tc_0fiBEHQeHUSsvb-5afoVfQ_18_0"/>
      <w:bookmarkStart w:id="1210" w:name="Tc_B7uHofirAkGmlsRKsrTrJw_17_0"/>
      <w:bookmarkStart w:id="1211" w:name="Tc_vnuwH0zea0mV7x3OBREWJw_16_6"/>
      <w:bookmarkStart w:id="1212" w:name="Tc_RJsH1GJLv0SJfRRBFeltIw_16_0"/>
      <w:bookmarkStart w:id="1213" w:name="Tc_8u7svFiMfUmVDoSBgpeZJQ_15_6"/>
      <w:bookmarkStart w:id="1214" w:name="Tc_guYCjvYVfk6au5bbdLZ2VQ_15_0"/>
      <w:bookmarkStart w:id="1215" w:name="Tc_3P4HNAYnRU2cHWVrLBtllQ_14_0"/>
      <w:bookmarkStart w:id="1216" w:name="Tc_v2t7ATiPGEKAIjrfg4ZqqA_13_0"/>
      <w:bookmarkStart w:id="1217" w:name="Tc_jQ77KL6djUOWbgr25Z5pYA_11_0"/>
      <w:bookmarkStart w:id="1218" w:name="Tc_hhR4pvXYYkG_N4Mj73nZmg_10_0"/>
      <w:bookmarkStart w:id="1219" w:name="Tc_4uwLaBeKNkaaO88ZsZ0nKQ_8_0"/>
      <w:bookmarkStart w:id="1220" w:name="Tc_S_dNA-avB0uLP2MnEWKCTA_7_0"/>
      <w:bookmarkStart w:id="1221" w:name="Tc_3ntSNDvarku66_kp28Z3Uw_6_0"/>
      <w:bookmarkStart w:id="1222" w:name="Tc_7mHMT8h2t0CoGuoBamCV3w_5_6"/>
      <w:bookmarkStart w:id="1223" w:name="Tc_UQKyArNoLEKdIcIw8MmJxg_5_0"/>
      <w:bookmarkStart w:id="1224" w:name="Tc_R2t7wVXL6UmCtRBL6Zjq-A_4_5"/>
      <w:bookmarkStart w:id="1225" w:name="Tc_jtO9934_MUG5MnrcI5inyQ_4_3"/>
      <w:bookmarkStart w:id="1226" w:name="Tc_2HfzY1BHIky7GjGBf-vUvg_4_2"/>
      <w:bookmarkStart w:id="1227" w:name="Tc_KLfouknxVkiWnJ_XH8ujwA_4_0"/>
      <w:bookmarkStart w:id="1228" w:name="Tc_9MT39DvCpkKnl81eFzBlKA_3_0"/>
      <w:bookmarkStart w:id="1229" w:name="Tc_re_Kl-L7X02iRowQhDxs2A_2_5"/>
      <w:bookmarkStart w:id="1230" w:name="Tc_Yucb-V9jCECSFTSNEzQ1_Q_2_2"/>
      <w:bookmarkStart w:id="1231" w:name="Tc_YdXWQHlLBki2SGX9-FXYrQ_1_5"/>
      <w:bookmarkStart w:id="1232" w:name="Tc_bRaFbrSoUkSZkgwkrsVbmQ_1_2"/>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p>
    <w:tbl>
      <w:tblPr>
        <w:tblW w:w="5132" w:type="dxa"/>
        <w:jc w:val="left"/>
        <w:tblInd w:w="0" w:type="dxa"/>
        <w:tblLayout w:type="fixed"/>
        <w:tblCellMar>
          <w:top w:w="0" w:type="dxa"/>
          <w:left w:w="0" w:type="dxa"/>
          <w:bottom w:w="0" w:type="dxa"/>
          <w:right w:w="0" w:type="dxa"/>
        </w:tblCellMar>
      </w:tblPr>
      <w:tblGrid>
        <w:gridCol w:w="391"/>
        <w:gridCol w:w="4741"/>
      </w:tblGrid>
      <w:tr>
        <w:trPr/>
        <w:tc>
          <w:tcPr>
            <w:tcW w:w="391"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(iv)</w:t>
            </w:r>
          </w:p>
        </w:tc>
        <w:tc>
          <w:tcPr>
            <w:tcW w:w="4741"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Deferred tax assets, net were composed of the following:</w:t>
            </w:r>
          </w:p>
        </w:tc>
      </w:tr>
    </w:tbl>
    <w:p>
      <w:pPr>
        <w:pStyle w:val="TextBody"/>
        <w:bidi w:val="0"/>
        <w:spacing w:before="0" w:after="240"/>
        <w:ind w:left="0" w:right="0" w:hanging="0"/>
        <w:jc w:val="both"/>
        <w:rPr/>
      </w:pPr>
      <w:r>
        <w:rPr/>
        <w:t>​</w:t>
      </w:r>
    </w:p>
    <w:tbl>
      <w:tblPr>
        <w:tblW w:w="7582" w:type="dxa"/>
        <w:jc w:val="left"/>
        <w:tblInd w:w="0" w:type="dxa"/>
        <w:tblLayout w:type="fixed"/>
        <w:tblCellMar>
          <w:top w:w="0" w:type="dxa"/>
          <w:left w:w="0" w:type="dxa"/>
          <w:bottom w:w="0" w:type="dxa"/>
          <w:right w:w="0" w:type="dxa"/>
        </w:tblCellMar>
      </w:tblPr>
      <w:tblGrid>
        <w:gridCol w:w="4321"/>
        <w:gridCol w:w="346"/>
        <w:gridCol w:w="211"/>
        <w:gridCol w:w="1051"/>
        <w:gridCol w:w="346"/>
        <w:gridCol w:w="211"/>
        <w:gridCol w:w="1096"/>
      </w:tblGrid>
      <w:tr>
        <w:trP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743835" cy="175260"/>
                      <wp:effectExtent l="0" t="0" r="0" b="0"/>
                      <wp:wrapNone/>
                      <wp:docPr id="272" name="Frame272"/>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19710" cy="175260"/>
                      <wp:effectExtent l="0" t="0" r="0" b="0"/>
                      <wp:wrapNone/>
                      <wp:docPr id="273" name="Frame2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33985" cy="175260"/>
                      <wp:effectExtent l="0" t="0" r="0" b="0"/>
                      <wp:wrapNone/>
                      <wp:docPr id="274" name="Frame2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67385" cy="175260"/>
                      <wp:effectExtent l="0" t="0" r="0" b="0"/>
                      <wp:wrapNone/>
                      <wp:docPr id="275" name="Frame275"/>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19710" cy="175260"/>
                      <wp:effectExtent l="0" t="0" r="0" b="0"/>
                      <wp:wrapNone/>
                      <wp:docPr id="276" name="Frame2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33985" cy="175260"/>
                      <wp:effectExtent l="0" t="0" r="0" b="0"/>
                      <wp:wrapNone/>
                      <wp:docPr id="277" name="Frame2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95960" cy="175260"/>
                      <wp:effectExtent l="0" t="0" r="0" b="0"/>
                      <wp:wrapNone/>
                      <wp:docPr id="278" name="Frame278"/>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26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  ​ ​ ​</w:t>
            </w:r>
          </w:p>
        </w:tc>
        <w:tc>
          <w:tcPr>
            <w:tcW w:w="13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3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w:t>
            </w:r>
          </w:p>
        </w:tc>
        <w:tc>
          <w:tcPr>
            <w:tcW w:w="13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left"/>
              <w:rPr/>
            </w:pPr>
            <w:r>
              <w:rPr/>
              <w:t>​</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operating loss carry forwards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1,552,937</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 attribute carryovers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2,247,292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pPr>
            <w:r>
              <w:rPr/>
              <w:t>—</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liability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153,126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329,930</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468,057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458,966</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gross deferred tax 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2,868,475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2,341,833</w:t>
            </w:r>
          </w:p>
        </w:tc>
      </w:tr>
      <w:tr>
        <w:trPr/>
        <w:tc>
          <w:tcPr>
            <w:tcW w:w="432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pPr>
            <w:r>
              <w:rPr/>
              <w:t>​</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valuation allowance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(2,262,986)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(1,793,889)</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deferred tax assets, net of valuation allowance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605,489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547,944</w:t>
            </w:r>
          </w:p>
        </w:tc>
      </w:tr>
      <w:tr>
        <w:trPr/>
        <w:tc>
          <w:tcPr>
            <w:tcW w:w="43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pPr>
            <w:r>
              <w:rPr/>
              <w:t>​</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pPr>
            <w:r>
              <w:rPr/>
              <w:t>​</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(141,317)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(221,790)</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gains on foreign exchange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(271,461)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pPr>
            <w:r>
              <w:rPr/>
              <w:t>—</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Fixed 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(44,138)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pPr>
            <w:r>
              <w:rPr/>
              <w:t>—</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Right of use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(148,573)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(326,154)</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deferred tax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(605,489)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(547,944)</w:t>
            </w:r>
          </w:p>
        </w:tc>
      </w:tr>
      <w:tr>
        <w:trPr/>
        <w:tc>
          <w:tcPr>
            <w:tcW w:w="432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pPr>
            <w:r>
              <w:rPr/>
              <w:t>​</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deferred tax assets, net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assesses deferred tax assets to determine whether they are realizable. As of June 30, 2026 and December 31, 2025, the Company recorded a full valuation allowance against deferred tax assets, as it has generated a three-year cumulative pretax book loss and is forecasting a loss for 2026. Based on this evidence, realization of deferred tax assets is not considered more-likely-than-not at this time.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records uncertain tax positions in accordance with ASC 740, using a two-step process to determine whether tax positions will be sustained. The Company has concluded that there are no uncertain tax positions requiring recognition as of June 30, 2026 and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was not previously subject to the interest expenses limitation under §163(j) of the U.S. Internal Revenue Code, due to the small business exemption. Its average annual gross receipts for the three tax years preceding 2022 do not exceed the relevant threshold amount ($27 million for 2022). The Company no longer met the small business exception in 2024, but it meets one of the other exceptions to the §163(j) limitation, “floor plan financing indebtedness” (indebtedness used to finance the acquisition of motor vehicles held for sale or lease or secured by such inventory) and will therefore continue to be exempt from the §163(j) interest expenses limitation in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monitors tax law changes and has determined that no recent changes materially impact the financial statements.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15 — CONCENTRATIONS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Political and economic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operations of the Company are in the U.S. and the Company’s primary market is in the PRC. Accordingly, the Company’s business, financial condition, and results of operations may be influenced by political, economic, and legal environments in the U.S. and the PRC, as well as by the general states of the U.S. and the PRC economy. The Company’s results may be adversely affected by changes in the political, regulatory, and social conditions in the U.S. and the PRC. Although the Company has not experienced losses from these situations and believes that it is in compliance with existing laws and regulations, including its organization and structure disclosed in Note 1, such experience may not be indicative of future results.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Credit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2026 and 2025, all of the Company’s cash was on deposit at financial institutions in the U.S., which are insured by the Federal Deposit Insurance Corporation subject to certain limitations. The Company has not experienced any losses in such accounts.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also closely monitors the collectability of its loan receivable, and no allowance for credit losses was recorded as of December 31, 2025 and June 30, 2026 based on management’s assessment under ASC 326.</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Concentrations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undergone a business transformation since the acquisition of Edward, which happened in February 2024 and TWEW in December 2024 (see also NOTE 9 — Intangible Asset and Goodwill). As of the date of this report, the Company’s logistics and warehousing business is still in its early development stage.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expanded into the construction machinery trading sector through its acquisition of Super International, which closed on May 27, 2026 (see also NOTE 9— Intangible Asset and Goodwill). As of the date of this report, Super International’s construction machinery trading operations are in their early growth stage, complementing the Company’s existing logistics and warehousing platform.</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16 — STOCKHOLDERS’ EQUITY</w:t>
      </w:r>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Common Stock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was incorporated under the laws of the State of North Carolina on August 9, 2016 and was subsequently converted into a Delaware corporation. Pursuant to the Company’s Certificate of Incorporation, as amended, the total authorized number of shares of common stock, par value $0.0001 per share (the “Common Stock”), is 2,200,000,000, consisting of 2,000,000,000 shares of Class A Common Stock and 200,000,000 shares of Class B Common Stock. The Company is also authorized to issue 500,000 shares of preferred stock, par value $0.0001 per share. Holders of Class A Common Stock and Class B Common Stock have the same rights, except for voting and conversion rights. In respect of matters requiring the votes of stockholders, each share of Class A Common Stock is entitled to one vote, and each share of Class B Common Stock is entitled to 15 votes. Class B Common Stock is convertible into Class A Common Stock at any time after issuance, at the option of the holder, on a one-to-one basis. Class A Common Stock is not convertible into shares of any other class.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March 23, 2026, the Company’s board of directors approved a reverse stock split of the Common Stock at a ratio of </w:t>
      </w:r>
      <w:r>
        <w:rPr>
          <w:rFonts w:ascii="Times New Roman;Times;serif" w:hAnsi="Times New Roman;Times;serif"/>
          <w:b w:val="false"/>
          <w:i w:val="false"/>
          <w:caps w:val="false"/>
          <w:smallCaps w:val="false"/>
          <w:sz w:val="20"/>
        </w:rPr>
        <w:t>1</w:t>
      </w:r>
      <w:r>
        <w:rPr>
          <w:rFonts w:ascii="Times New Roman;Times;serif" w:hAnsi="Times New Roman;Times;serif"/>
          <w:sz w:val="20"/>
        </w:rPr>
        <w:t xml:space="preserve">-for-200 (the “Reverse Stock Split”). To implement the Reverse Stock Split, the Company filed a Certificate of Amendment to its Certificate of Incorporation with the Secretary of State of Delaware on March 24, 2026. The Reverse Stock Split became effective at 8:00 a.m., Eastern Time, on April 20, 2026. At the effective time, every 200 shares of Common Stock outstanding were automatically combined into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new share of Common Stock. No fractional shares were issued in connection with the Reverse Stock Split, and any fractional shares resulting from the Reverse Stock Split were rounded up to the nearest whole share. The par value per share of the Common Stock remained unchanged. The Company’s Class A Common Stock began trading on a split-adjusted basis on April 29, 2026. All share and per-share amounts presented herein have been retrospectively adjusted to reflect the Reverse Stock Split, unless otherwise indicated.</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On June 27, 2022, the Company entered into a subscription agreement with a group of investors (the “Investors”), whereby the Company agreed to sell, and the Investors agreed to purchase, up to 521 shares of Class A Common Stock at a purchase price of $5,760 per share. These Investors are unrelated parties to the Company. The gross proceeds were approximately $3.0 million, before deducting offering expenses of approximately $0.3 million. The net proceeds were approximately $2.7 million, of which approximately $1.2 million was received in 2022 and $1.2 million in 2023, for a total receipt of approximately $2.4 million. After negotiations between Rapid Proceed Limited (“Rapid”), one of the Investors, and the Company regarding the fund’s release terms, an agreement was reached on November 2, 2023, stipulating that the outstanding $0.6 million would be paid by Rapid within six months following the Company’s initial public offering (“IPO”). On March 13, 2024, considering the impact of market volatility and the long-term benefits of continued cooperation, Rapid requested and the Company agreed to extend the payment due date of the outstanding $0.6 million to September 30, 2024. As of September 30, 2024, the outstanding balance of the subscription payments had been collected.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August 3, 2023, the Company closed its IPO of 391 shares of Class A Common Stock at a public offering price of $12,800.00 per share, for aggregate gross proceeds of $5.0 million before deducting underwriting discounts and other offering expenses, including the issuance to the underwriter of warrants to purchase 20 shares of Class A Common Stock (the “Warrants”), with an exercise price of $16,000.00 per share. The Company’s Class A Common Stock began trading on the Nasdaq Capital Market under the ticker symbol “CTNT” on August 1, 2023.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January 24, 2024, the Company entered into a stock purchase agreement with Edward and Juguang Zhang, Edward’s sole stockholder (the “Seller”). Pursuant to the stock purchase agreement, the Company agreed to acquire 100% of the shares of Edward from the Seller (the “Acquisition”). On February 2, 2024, the Company closed the Acquisition for a total purchase price that included a cash payment of $300,000 and the issuance of 398 shares of the Company’s unregistered Class A Common Stock, initially valued at $1,200,000. A subsequent valuation determined the fair value of these shares to be $0.9 million. Please see Note 9 for further details.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May 14, 2024, the Company entered into a placement agency agreement with AC Sunshine Securities LLC on a best-efforts basis relating to the Company’s public offering (the “May Offering”) of 4,129 shares of Class A Common Stock at a price of $1,984.00 per share, less certain placement agent fees. On the same day, the Company entered into a securities purchase agreement with purchasers identified therein. On May 15, 2024, the Company closed the May Offering pursuant to the prospectus included in its registration statement on Form S-1, as amended (File No. 333-276300), which was initially filed with the SEC on December 28, 2023 and declared effective by the SEC on April 26, 2024, and a registration statement on Form S-1 (File No. 333-279388) filed on May 13, 2024 pursuant to Rule 462(b) under the Securities Act of 1933, as amended. The May Offering resulted in gross proceeds to the Company of approximately $8.19 million, before deducting placement agent fees and other offering expenses and fees.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July 25, 2024, the Company entered into a securities purchase agreement with certain institutional investors for a follow-on offering of 2,025 shares of its Class A Common Stock, par value $0.0001 per share, at a price of $736.00 per share. On the same day, the Company entered into a placement agency agreement with FT Global Capital, Inc., which acted as the exclusive placement agent on a best-efforts basis in connection with such offering. Pursuant to the placement agency agreement, the Company paid FT Global Capital, Inc. a fee equal to 7.25% of the aggregate purchase price for the shares of Class A Common Stock sold in the offering and reimbursed FT Global Capital, Inc. for its expenses up to $90,000 in the aggregate. On July 26, 2024, the Company closed the offering, with net proceeds to the Company of approximately $1.1 million, which were intended to be used for working capital and general corporate purposes.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November 27, 2024, the Company entered into a stock purchase agreement with TWEW and its stockholders (the “TWEW Sellers”). Pursuant to the stock purchase agreement, the Company agreed to acquire 100% of the shares of TWEW from the TWEW Sellers (the “TWEW Acquisition”) for a total purchase price that included a cash payment of $200,000 and the issuance of 2,348 shares of the Company’s unregistered Class A Common Stock, valued at $800,000. On December 19, 2024, the Company closed the TWEW Acquisition and issued 2,348 shares of its Class A Common Stock accordingly.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February 12, 2026, the Company closed the previously disclosed private placement pursuant to certain stock purchase agreements dated January 27, 2026 with certain investors (the “Purchasers”) and issued an aggregate of 167,250 shares of Class A Common Stock, after giving retroactive effect to the Reverse Stock Split, for aggregate gross proceeds of $40.14 million. The shares issued in such offering were not subject to the registration requirements of the Securities Act of 1933, as amended (the “Securities Act”), pursuant to Regulation S promulgated thereunder. The Purchasers represented that they were not residents of the United States and were not “U.S. persons” as defined in Rule 902(k) of Regulation S under the Securities Act and did not acquire the shares for the account or benefit of any U.S. person.</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On March 31, 2026, the Company entered into a Sales Agreement (the “ACS Sales Agreement”) with AC Sunshine Securities LLC (the “Sales Agent”), acting as the Company’s sales agent, pursuant to which the Company could offer and sell, from time to time, to or through the Sales Agent shares of its Class A Common Stock having an aggregate offering price of up to $100,000,000 through an “at-the-market” offering program (the “ATM Offering”). Of such amount, up to $70,000,000 of shares of Class A Common Stock could be offered and sold pursuant to a prospectus supplement filed with the SEC on April 2, 2026 under the Company’s registration statement on Form S-3 (Registration No. 333-281820), which was declared effective by the SEC on September 6,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June 26, 2026, the Company and the Sales Agent entered into a Mutual Termination Agreement, pursuant to which the parties mutually agreed to terminate the ACS Sales Agreement, effective as of the close of business on June 26, 2026. Prior to the effectiveness of the Reverse Stock Split, the Company sold an aggregate of 355,000,000 shares of Class A Common Stock pursuant to the Sales Agreement, representing 1,775,000 shares of Class A Common Stock as adjusted to give effect to the Reverse Stock Split. From April 29, 2026 through June 18, 2026, following the Reverse Stock Split, the Company sold an aggregate of 1,000,000 shares of Class A Common Stock pursuant to the Sales Agreement. Accordingly, prior to the termination of the Sales Agreement, the Company sold an aggregate of 2,775,000 shares of Class A Common Stock pursuant to the Sales Agreement, after giving effect to the Reverse Stock Split. The ATM Offering resulted in net proceeds to the Company of approximately $30.9 million, after deducting placement agent fees and other offering expenses and fees. Approximately $3.5 million of the net proceeds was used to acquire Super International.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June 15, 2026, the Company entered into a Securities Purchase Agreement with Huan Liu, the Company’s Chief Executive Officer, Interim Chief Financial Officer, director and Chairman of the Board of Directors (the “PIPE Purchaser”), pursuant to which the Company issued and sold to the PIPE Purchaser 200,000 shares of the Company’s Class B Common Stock, par value $0.0001 per share, at a purchase price of $2.00 per share, for aggregate gross proceeds to the Company of $400,000. The shares were issued and sold in an offshore transaction in reliance on Regulation S under the Securities Act.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2026, there were 2,955,935 shares of Class A Common Stock and 203,456 shares of Class B Common Stock issued and outstanding.</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Reverse Stock Split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At a special stockholders’ meeting held on September 30, 2024, the Company’s stockholders approved the Company’s Fourth Amended and Restated Articles of Incorporation to authorize a reverse stock split of the issued and outstanding shares of the Company’s Common Stock at a ratio ranging from </w:t>
      </w:r>
      <w:r>
        <w:rPr>
          <w:rFonts w:ascii="Times New Roman;Times;serif" w:hAnsi="Times New Roman;Times;serif"/>
          <w:b w:val="false"/>
          <w:i w:val="false"/>
          <w:caps w:val="false"/>
          <w:smallCaps w:val="false"/>
          <w:sz w:val="20"/>
        </w:rPr>
        <w:t>1</w:t>
      </w:r>
      <w:r>
        <w:rPr>
          <w:rFonts w:ascii="Times New Roman;Times;serif" w:hAnsi="Times New Roman;Times;serif"/>
          <w:sz w:val="20"/>
        </w:rPr>
        <w:t xml:space="preserve">-for-10 to </w:t>
      </w:r>
      <w:r>
        <w:rPr>
          <w:rFonts w:ascii="Times New Roman;Times;serif" w:hAnsi="Times New Roman;Times;serif"/>
          <w:b w:val="false"/>
          <w:i w:val="false"/>
          <w:caps w:val="false"/>
          <w:smallCaps w:val="false"/>
          <w:sz w:val="20"/>
        </w:rPr>
        <w:t>1</w:t>
      </w:r>
      <w:r>
        <w:rPr>
          <w:rFonts w:ascii="Times New Roman;Times;serif" w:hAnsi="Times New Roman;Times;serif"/>
          <w:sz w:val="20"/>
        </w:rPr>
        <w:t xml:space="preserve">-for-30, as determined by the Company’s board of directors. Subsequently, on October 7, 2024, the Company’s board of directors approved a reverse stock split of the Company’s Common Stock at a ratio of </w:t>
      </w:r>
      <w:r>
        <w:rPr>
          <w:rFonts w:ascii="Times New Roman;Times;serif" w:hAnsi="Times New Roman;Times;serif"/>
          <w:b w:val="false"/>
          <w:i w:val="false"/>
          <w:caps w:val="false"/>
          <w:smallCaps w:val="false"/>
          <w:sz w:val="20"/>
        </w:rPr>
        <w:t>1</w:t>
      </w:r>
      <w:r>
        <w:rPr>
          <w:rFonts w:ascii="Times New Roman;Times;serif" w:hAnsi="Times New Roman;Times;serif"/>
          <w:sz w:val="20"/>
        </w:rPr>
        <w:t xml:space="preserve">-for-16 (the “2024 Reverse Stock Split”). To implement the 2024 Reverse Stock Split, the Company filed its Fourth Amended and Restated Articles of Incorporation with the Secretary of State of North Carolina on October 8, 2024. The 2024 Reverse Stock Split took effect on October 21, 2024. At the effective time, every 16 shares of the Company’s Common Stock outstanding were automatically combined into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new share of Common Stock. The Company’s Class A Common Stock began trading on the Nasdaq Capital Market on a split-adjusted basis on October 24,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March 23, 2026, the Company’s board of directors approved a reverse stock split of the Company’s Common Stock at a ratio of </w:t>
      </w:r>
      <w:r>
        <w:rPr>
          <w:rFonts w:ascii="Times New Roman;Times;serif" w:hAnsi="Times New Roman;Times;serif"/>
          <w:b w:val="false"/>
          <w:i w:val="false"/>
          <w:caps w:val="false"/>
          <w:smallCaps w:val="false"/>
          <w:sz w:val="20"/>
        </w:rPr>
        <w:t>1</w:t>
      </w:r>
      <w:r>
        <w:rPr>
          <w:rFonts w:ascii="Times New Roman;Times;serif" w:hAnsi="Times New Roman;Times;serif"/>
          <w:sz w:val="20"/>
        </w:rPr>
        <w:t xml:space="preserve">-for-200 (the “2026 Reverse Stock Split”). To implement the 2026 Reverse Stock Split, the Company filed a Certificate of Amendment to its Certificate of Incorporation with the Secretary of State of Delaware on March 24, 2026. The 2026 Reverse Stock Split became effective at 8:00 a.m., Eastern Time, on April 20, 2026. At the effective time, every 200 shares of the Company’s Common Stock outstanding were automatically combined into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new share of Common Stock. No fractional shares were issued in connection with the 2026 Reverse Stock Split; any fractional shares resulting from the 2026 Reverse Stock Split were rounded up to the nearest whole share. The par value per share of the Company’s Common Stock remained unchanged. As a result of the 2026 Reverse Stock Split, the Company’s issued and outstanding Class A Common Stock was reduced from 391,177,712 shares to 1,955,889 shares, and the Company’s issued and outstanding Class B Common Stock was reduced from 690,875 shares to 3,456 shares. The Company’s Class A Common Stock began trading on a split-adjusted basis on April 29, 2026, at which time the Class A Common Stock was assigned a new CUSIP number, 16307X301.</w:t>
      </w:r>
    </w:p>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sz w:val="20"/>
        </w:rPr>
        <w:t>All share and per-share information included in this Quarterly Report on Form 10-Q has been retrospectively adjusted to reflect the 2024 Reverse Stock Split and the 2026 Reverse Stock Split as if each had occurred as of the earliest period presented.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17 — SEGMENT REPORTING</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accounts for segment reporting in accordance with ASC 280, Segment Reporting. ASC 280 requires public companies to report financial and descriptive information about their reportable operating segments using the “management approach,” which is based on the internal financial information that the Company’s chief operating decision maker (“CODM”) regularly uses to allocate resources and assess segment performance. The Company’s CODM is its Chief Executive Officer.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six months ended June 30, 2026, the Company completed the acquisition of Super International and optimized its internal management reporting framework. In connection with the expansion of the Company’s business entity structure, the Company reassessed its segment presentation and corrected its historical segment classification methodology. Historically, certain corporate overhead expenses related to public company governance, executive management and centralized administrative functions were incorrectly included within the Logistics and Warehousing Services segment. Such corporate-level costs are not attributable to any individual operating business and are not evaluated by the CODM when measuring segment operating performance or allocating segment resources.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Accordingly, the Company has revised its segment presentation to separate all corporate unallocated expenses from operating segment results, and has retrospectively restated all prior period segment data to conform to the current period presentation. The revised presentation aligns fully with the CODM’s internal performance evaluation process and complies with the management approach under ASC 280.</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two reportable operating segments: Logistics and Warehousing, and International Trading.</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Description of Reportable Segments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Logistics and Warehousing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segment provides general labor staffing, on-site workforce support and logistics coordination services primarily through the Company’s subsidiary, TW &amp; EW Services Inc. (“TWEW”). Prior to its disposition on April 1, 2026, this segment also included the freight forwarding and warehousing operations of Edward.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International Trading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newly established segment commenced operations following the Company’s acquisition of Super International on May 27, 2026. The segment engages in the procurement and global resale of construction machinery and equipment, serving international end customers and equipment distributors.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Corporate Unallocated Items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Corporate unallocated items consist of centralized corporate costs that support the overall organization but do not relate to the core operating activities of either reportable segment. These items include executive leadership compensation, public company compliance and SEC reporting costs, corporate legal and audit fees, company-wide share-based compensation, global office overhead and other general administrative expenses. In addition, interest income, interest expense, gains or losses on asset dispositions and other non-operating items are maintained at the corporate level and not allocated to operating segments, as such items are not used by the CODM to evaluate segment profitability.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accounting policies applied to each reportable segment are consistent with the consolidated U.S. GAAP accounting policies of the Company. The CODM evaluates segment performance based solely on segment operating income or loss, which excludes all corporate unallocated costs and non-operating items.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40"/>
        <w:ind w:left="0" w:right="0" w:hanging="0"/>
        <w:jc w:val="both"/>
        <w:rPr>
          <w:rFonts w:ascii="Times New Roman;Times;serif" w:hAnsi="Times New Roman;Times;serif"/>
          <w:b/>
          <w:i/>
          <w:sz w:val="20"/>
        </w:rPr>
      </w:pPr>
      <w:bookmarkStart w:id="1233" w:name="Tc_xcSUmVT3jUKqsMgmdYHVMA_25_11"/>
      <w:bookmarkStart w:id="1234" w:name="Tc_8nA1UHp4v0OZ1fHiZww_6Q_25_8"/>
      <w:bookmarkStart w:id="1235" w:name="Tc_lClon5br5k2cy7vAdx4Dmg_25_5"/>
      <w:bookmarkStart w:id="1236" w:name="Tc_fpkOm-NLVUi5Uobl9BXkkg_25_2"/>
      <w:bookmarkStart w:id="1237" w:name="Tc_Gndj1afMjU60exJg44mCcw_25_0"/>
      <w:bookmarkStart w:id="1238" w:name="Tc_YUZtn3151kiAltUjBumW3g_23_0"/>
      <w:bookmarkStart w:id="1239" w:name="Tc_jqrhkN7ptkiNhXvXyOS6IA_21_0"/>
      <w:bookmarkStart w:id="1240" w:name="Tc_ISat1tKP1E6KPF0QYDunpg_19_12"/>
      <w:bookmarkStart w:id="1241" w:name="Tc_CSMybvErp0Cy0uYtaCfkug_19_6"/>
      <w:bookmarkStart w:id="1242" w:name="Tc_uO7bOuhFo0-A6n7LZQf75g_19_0"/>
      <w:bookmarkStart w:id="1243" w:name="Tc_WedKiNKJzU6zF-PbuhxHBg_17_0"/>
      <w:bookmarkStart w:id="1244" w:name="Tc_p6yNFExW40e2oJX8VBw7fA_15_0"/>
      <w:bookmarkStart w:id="1245" w:name="Tc_h01r67kyUUGPfQSc_9NS5w_13_12"/>
      <w:bookmarkStart w:id="1246" w:name="Tc_DWVJRTgST0-LhZ2IfDcu2Q_13_9"/>
      <w:bookmarkStart w:id="1247" w:name="Tc_YsppYUaguEeLmNhoVsLIAA_13_6"/>
      <w:bookmarkStart w:id="1248" w:name="Tc_96XSokz_L0moB9H8Hx7byA_13_3"/>
      <w:bookmarkStart w:id="1249" w:name="Tc_cBAkzWWPxUyizM0N-q4lCw_13_0"/>
      <w:bookmarkStart w:id="1250" w:name="Tc_L7lek9K-X02x6sQyTftIhA_11_11"/>
      <w:bookmarkStart w:id="1251" w:name="Tc_R4e2QwsnTkKAUpePf_EkPg_11_8"/>
      <w:bookmarkStart w:id="1252" w:name="Tc_gGq34JorNUSvgsVrYCc5XA_11_5"/>
      <w:bookmarkStart w:id="1253" w:name="Tc_NtnQGWM99k20W-r96SlJZA_11_2"/>
      <w:bookmarkStart w:id="1254" w:name="Tc_gYoc0e8XrkCBBTSJJAVHkA_11_0"/>
      <w:bookmarkStart w:id="1255" w:name="Tc_eDt1KFOYLkSqdvJVMLwluw_9_0"/>
      <w:bookmarkStart w:id="1256" w:name="Tc_ZoNabuK7xEi8CrDyNxSkfQ_8_0"/>
      <w:bookmarkStart w:id="1257" w:name="Tc_75Zl8Iz8BUWJbVj7pfPB-w_7_12"/>
      <w:bookmarkStart w:id="1258" w:name="Tc_-sImujnxZ0ml_Yh2zbwlyQ_7_9"/>
      <w:bookmarkStart w:id="1259" w:name="Tc_JxV3wHvRBUOikrJT5H0PEw_7_6"/>
      <w:bookmarkStart w:id="1260" w:name="Tc_O9xsTZ8rG0ig0jza1IWM5g_7_3"/>
      <w:bookmarkStart w:id="1261" w:name="Tc_nYnxgk3KkU2qwMer30rHtg_7_0"/>
      <w:bookmarkStart w:id="1262" w:name="Tc_1pXQtuEY6U6kSEf73kSl8A_5_11"/>
      <w:bookmarkStart w:id="1263" w:name="Tc_ZwMc7qPvWUi1JpdP3goidg_5_8"/>
      <w:bookmarkStart w:id="1264" w:name="Tc_k_so74UKYEOTCDLua13agg_5_5"/>
      <w:bookmarkStart w:id="1265" w:name="Tc_VdJJFdvuC0SCQzgp4fMcOg_5_2"/>
      <w:bookmarkStart w:id="1266" w:name="Tc_r7jB-8I-Q0a9PSPB_olNAg_5_0"/>
      <w:bookmarkStart w:id="1267" w:name="Tc_FrOpVkWIAEaFGo0n3VlQqQ_4_11"/>
      <w:bookmarkStart w:id="1268" w:name="Tc_55CZx9-SW0iQPTm1CPnnAg_4_8"/>
      <w:bookmarkStart w:id="1269" w:name="Tc_QwtTySkmSU6UfXs6Mi6J1g_4_5"/>
      <w:bookmarkStart w:id="1270" w:name="Tc_UDkBlcRuUEO4HRvepQIWDQ_4_2"/>
      <w:bookmarkStart w:id="1271" w:name="Tc_Vk0Rgkdov0-iHdpGbRr9tA_3_11"/>
      <w:bookmarkStart w:id="1272" w:name="Tc_3kzpm2-DKEWQKf4Wx6uzTw_3_8"/>
      <w:bookmarkStart w:id="1273" w:name="Tc_4ytzOOxlkkOU441ZANG0oA_3_5"/>
      <w:bookmarkStart w:id="1274" w:name="Tc_mcnseN8ON02HBwFJWpj0EA_3_2"/>
      <w:bookmarkStart w:id="1275" w:name="Tc_irAFuXFzGUuQncdc19gNCA_2_8"/>
      <w:bookmarkStart w:id="1276" w:name="Tc_DZlSn2Pey0mLGcin9tFyIg_2_2"/>
      <w:bookmarkStart w:id="1277" w:name="Tc_7fQa5kXnY0m_pmdAsjdwSQ_1_8"/>
      <w:bookmarkStart w:id="1278" w:name="Tc_yZoaFmN2y0CQcoxWkbrXmQ_1_2"/>
      <w:bookmarkStart w:id="1279" w:name="Tc_yAYxyNCfGUyAR6E8uDCHWw_10_17"/>
      <w:bookmarkStart w:id="1280" w:name="Tc_aPNlnzaaPE6wAbIW6ZV0OQ_10_14"/>
      <w:bookmarkStart w:id="1281" w:name="Tc_MbgFLtJls0unbTKVYY7YwQ_10_12"/>
      <w:bookmarkStart w:id="1282" w:name="Tc_YbFw7xyHCEaGyCtsjo3IJQ_10_11"/>
      <w:bookmarkStart w:id="1283" w:name="Tc_44rRX9yGhk-B6FEhn54eEg_10_8"/>
      <w:bookmarkStart w:id="1284" w:name="Tc_zsoIKo10WkG79cmROnTq2w_10_5"/>
      <w:bookmarkStart w:id="1285" w:name="Tc_gDh2dA0EdES6vV14Zr0Ilg_10_2"/>
      <w:bookmarkStart w:id="1286" w:name="Tc_GzbHeAZAJ0-vNNEGgNbkBA_10_0"/>
      <w:bookmarkStart w:id="1287" w:name="Tc_ckOvnrhrSki_9YytvdX4Gg_9_12"/>
      <w:bookmarkStart w:id="1288" w:name="Tc_B8pXRCZvC0aHpPo5BjLx_g_9_0"/>
      <w:bookmarkStart w:id="1289" w:name="Tc_JAcZA3AE8kGaaI3gSpCShQ_8_12"/>
      <w:bookmarkStart w:id="1290" w:name="Tc_zk2WujRnHEOvBKba_zjYmw_8_0"/>
      <w:bookmarkStart w:id="1291" w:name="Tc_dNc9KlCyJ0S1dgRVqa-X1g_7_12"/>
      <w:bookmarkStart w:id="1292" w:name="Tc_Q-s90EsbMk2MP1EnLNO79Q_7_0"/>
      <w:bookmarkStart w:id="1293" w:name="Tc_0CYt5NJsQ0WGMc6m24WKxQ_6_17"/>
      <w:bookmarkStart w:id="1294" w:name="Tc_JwKLQlAMEEm5dLPCBWVYQA_6_14"/>
      <w:bookmarkStart w:id="1295" w:name="Tc_bcgnKmE-xU2xZImVuliUgA_6_12"/>
      <w:bookmarkStart w:id="1296" w:name="Tc_s_f2U5XGfUmnCYu3MkcddA_6_11"/>
      <w:bookmarkStart w:id="1297" w:name="Tc_LdULTkKW9USOn8INwEPXNg_6_8"/>
      <w:bookmarkStart w:id="1298" w:name="Tc_Qa4NGtIjP0GzbE-8ahSUVg_6_5"/>
      <w:bookmarkStart w:id="1299" w:name="Tc_Rh3wg9pdCU6Mk1l4TtvDFw_6_2"/>
      <w:bookmarkStart w:id="1300" w:name="Tc_1dEB2YmdIUaElkfi01fSpQ_6_0"/>
      <w:bookmarkStart w:id="1301" w:name="Tc_MCsDZCuSfUG6SXuynTgMEw_5_17"/>
      <w:bookmarkStart w:id="1302" w:name="Tc_NsFLDmIqhU67VNXxE4GTcg_5_14"/>
      <w:bookmarkStart w:id="1303" w:name="Tc_bZrVyHFwCES_mt-1L7P5KQ_5_11"/>
      <w:bookmarkStart w:id="1304" w:name="Tc_jXoyX18XeUSngdCYXdH0zA_5_8"/>
      <w:bookmarkStart w:id="1305" w:name="Tc_YavGkjbOD0C6csH8Ibiqdw_5_5"/>
      <w:bookmarkStart w:id="1306" w:name="Tc_jOscHXI38EiTdjr9TntRRQ_5_2"/>
      <w:bookmarkStart w:id="1307" w:name="Tc_HQbzrD2rxE63l-17oKzz7Q_4_17"/>
      <w:bookmarkStart w:id="1308" w:name="Tc_prEfjpW9VEOescC1rb3MeA_4_14"/>
      <w:bookmarkStart w:id="1309" w:name="Tc_mmjSxmfx40uDsHj836queA_4_11"/>
      <w:bookmarkStart w:id="1310" w:name="Tc_dP3QFi8ybEGgtAPr6ARKjw_4_8"/>
      <w:bookmarkStart w:id="1311" w:name="Tc_sJlW15YJNk2DtmEQyvPCPA_4_5"/>
      <w:bookmarkStart w:id="1312" w:name="Tc_WA6mGISTdUC_A9Q3njrhVA_4_2"/>
      <w:bookmarkStart w:id="1313" w:name="Tc_pji7Bbehs0esvRBtOQtN2A_3_14"/>
      <w:bookmarkStart w:id="1314" w:name="Tc_LRw_gMYRXUei2yJxf-jh0A_3_8"/>
      <w:bookmarkStart w:id="1315" w:name="Tc_Mi3FvUd92kuWx_AJLnjeSA_3_2"/>
      <w:bookmarkStart w:id="1316" w:name="Tc_rHUGI1Zw9U21XZn8pjD0Kg_2_14"/>
      <w:bookmarkStart w:id="1317" w:name="Tc_uZftPRZVwUCCcv2oqWkUTg_2_8"/>
      <w:bookmarkStart w:id="1318" w:name="Tc_Up3VyWKClUOf9USp-c9SoA_2_2"/>
      <w:bookmarkStart w:id="1319" w:name="Tc_PkGSyVPi9k6SD9GH8KnW0A_1_2"/>
      <w:bookmarkStart w:id="1320" w:name="_5fec3834_0d4b_405f_9531_d82041b50459"/>
      <w:bookmarkStart w:id="1321" w:name="Tc_3onyQLNx7UWPsHWsGqfOlA_10_17"/>
      <w:bookmarkStart w:id="1322" w:name="Tc_bmtPIfJsJkGV3XwAmPD6DA_10_14"/>
      <w:bookmarkStart w:id="1323" w:name="Tc_vuxkC1QaUUuH4C_ZwDF9kA_10_12"/>
      <w:bookmarkStart w:id="1324" w:name="Tc_TjtqnHudYkGB6TTVBVgNjg_10_11"/>
      <w:bookmarkStart w:id="1325" w:name="Tc_xLSmemv3G0O2fc-9Oex3Jw_10_8"/>
      <w:bookmarkStart w:id="1326" w:name="Tc_UwNz2qJrFEWoXebJM23_MQ_10_5"/>
      <w:bookmarkStart w:id="1327" w:name="Tc_yRLEjxPE9EaMexZXPREI8A_10_2"/>
      <w:bookmarkStart w:id="1328" w:name="Tc_9hxYmlVA5UaTLrY3FsfaZQ_10_0"/>
      <w:bookmarkStart w:id="1329" w:name="Tc_j15vyzfRFUGMG3DpJGOfuw_9_12"/>
      <w:bookmarkStart w:id="1330" w:name="Tc_LnVg8B5c5UqcdW5WcbD4ZQ_9_0"/>
      <w:bookmarkStart w:id="1331" w:name="Tc_QHOR-7Uyd0qItQGcADtD8w_8_12"/>
      <w:bookmarkStart w:id="1332" w:name="Tc_vEfF9dZxDU-3wEZKbynV6w_8_3"/>
      <w:bookmarkStart w:id="1333" w:name="Tc_d4AFEWwxcEylJrwkos2Etw_8_0"/>
      <w:bookmarkStart w:id="1334" w:name="Tc_cGDO60Ll4U-DNyhIx7bCpA_7_12"/>
      <w:bookmarkStart w:id="1335" w:name="Tc_ppSsJ4tkkkmABPNfEQ070A_7_3"/>
      <w:bookmarkStart w:id="1336" w:name="Tc_NWKtNu23GkyAulMHgFNozA_7_0"/>
      <w:bookmarkStart w:id="1337" w:name="Tc_A2saOucYpUSCIjVdmvNuRw_6_17"/>
      <w:bookmarkStart w:id="1338" w:name="Tc_ZQgOL2axvESePEMeV67-Gw_6_14"/>
      <w:bookmarkStart w:id="1339" w:name="Tc_G4XFdAsYX0G32fPPu-lPOw_6_12"/>
      <w:bookmarkStart w:id="1340" w:name="Tc_vzXuEjaOMkyTv3NXmVTUbg_6_11"/>
      <w:bookmarkStart w:id="1341" w:name="Tc_YazUEQpsy0Kll2O7EE0k-Q_6_8"/>
      <w:bookmarkStart w:id="1342" w:name="Tc__2wE1ZsmdEO3ZvIJEECI-w_6_5"/>
      <w:bookmarkStart w:id="1343" w:name="Tc_iF_CYo6yH0GSXaJYh_Z04Q_6_3"/>
      <w:bookmarkStart w:id="1344" w:name="Tc_wdLArwswsUiOpKu9KhESQw_6_2"/>
      <w:bookmarkStart w:id="1345" w:name="Tc_6FApuCJIXUuhtHVjwUU3-A_6_0"/>
      <w:bookmarkStart w:id="1346" w:name="Tc_7MJmkacbvkmdsUe10oKN4Q_5_17"/>
      <w:bookmarkStart w:id="1347" w:name="Tc_4Ejp1AEfb0iDTTapocmXDw_5_14"/>
      <w:bookmarkStart w:id="1348" w:name="Tc_WkDWnjAQ1kKQQdyjgLIROw_5_11"/>
      <w:bookmarkStart w:id="1349" w:name="Tc_edDGgqyjMU6l59NvZfZ0oQ_5_8"/>
      <w:bookmarkStart w:id="1350" w:name="Tc__Acb8IMvOkaLaKy3iRRnQQ_5_5"/>
      <w:bookmarkStart w:id="1351" w:name="Tc_72eHRA4ixkSyojd2oKMgFw_5_2"/>
      <w:bookmarkStart w:id="1352" w:name="Tc_SqgfUYp-S0uxVYfm4bRNMw_4_17"/>
      <w:bookmarkStart w:id="1353" w:name="Tc_3iWNL98LA0y8Xx_K2_R64g_4_14"/>
      <w:bookmarkStart w:id="1354" w:name="Tc_8F8nyvO2XUakcDAdQdKKFA_4_11"/>
      <w:bookmarkStart w:id="1355" w:name="Tc_noeTrQluoUClE_GTpTHnjA_4_8"/>
      <w:bookmarkStart w:id="1356" w:name="Tc_HoJk4tcQN0uaYcZ2Mr-2yA_4_5"/>
      <w:bookmarkStart w:id="1357" w:name="Tc_XE0Euk9a9UGbYBdgIkIs6Q_4_2"/>
      <w:bookmarkStart w:id="1358" w:name="Tc_WTWGYLvn4EWVonZHwKX-PA_3_14"/>
      <w:bookmarkStart w:id="1359" w:name="Tc_uZxu9tRGCEuLzC7dsv5Yfg_3_8"/>
      <w:bookmarkStart w:id="1360" w:name="Tc_D7rOo7QcWEC5hpY21-Nr3A_3_2"/>
      <w:bookmarkStart w:id="1361" w:name="Tc_hAb-hKmUjk2ajHjtGGiT1w_2_14"/>
      <w:bookmarkStart w:id="1362" w:name="Tc_tIYnzDBXc0eLRcWgvkJTtg_2_8"/>
      <w:bookmarkStart w:id="1363" w:name="Tc_sUovZJO9w0q8Q1qpici2BA_2_2"/>
      <w:bookmarkStart w:id="1364" w:name="Tc_g6MKIUznaUaBy7UbZPWtzw_1_2"/>
      <w:bookmarkStart w:id="1365" w:name="_519e5b7c_2aa7_46c7_88dc_ddfa7f513cb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r>
        <w:rPr>
          <w:rFonts w:ascii="Times New Roman;Times;serif" w:hAnsi="Times New Roman;Times;serif"/>
          <w:b/>
          <w:i/>
          <w:sz w:val="20"/>
        </w:rPr>
        <w:t>Segment operating results</w:t>
      </w:r>
    </w:p>
    <w:p>
      <w:pPr>
        <w:pStyle w:val="TextBody"/>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The following tables present operating results for the Company’s reportable segments for the three and six months ended June 30, 2026 and 2025. Segment amounts reflect only direct, segment-specific revenues and operating expenses attributable to each respective business.</w:t>
      </w:r>
    </w:p>
    <w:p>
      <w:pPr>
        <w:pStyle w:val="TextBody"/>
        <w:bidi w:val="0"/>
        <w:spacing w:before="0" w:after="0"/>
        <w:ind w:left="0" w:right="0" w:hanging="0"/>
        <w:jc w:val="left"/>
        <w:rPr/>
      </w:pPr>
      <w:r>
        <w:rPr/>
        <w:t>​</w:t>
      </w:r>
    </w:p>
    <w:tbl>
      <w:tblPr>
        <w:tblW w:w="10187" w:type="dxa"/>
        <w:jc w:val="left"/>
        <w:tblInd w:w="0" w:type="dxa"/>
        <w:tblLayout w:type="fixed"/>
        <w:tblCellMar>
          <w:top w:w="0" w:type="dxa"/>
          <w:left w:w="0" w:type="dxa"/>
          <w:bottom w:w="0" w:type="dxa"/>
          <w:right w:w="0" w:type="dxa"/>
        </w:tblCellMar>
      </w:tblPr>
      <w:tblGrid>
        <w:gridCol w:w="2071"/>
        <w:gridCol w:w="346"/>
        <w:gridCol w:w="211"/>
        <w:gridCol w:w="796"/>
        <w:gridCol w:w="346"/>
        <w:gridCol w:w="211"/>
        <w:gridCol w:w="796"/>
        <w:gridCol w:w="346"/>
        <w:gridCol w:w="211"/>
        <w:gridCol w:w="781"/>
        <w:gridCol w:w="346"/>
        <w:gridCol w:w="368"/>
        <w:gridCol w:w="607"/>
        <w:gridCol w:w="346"/>
        <w:gridCol w:w="211"/>
        <w:gridCol w:w="796"/>
        <w:gridCol w:w="346"/>
        <w:gridCol w:w="211"/>
        <w:gridCol w:w="841"/>
      </w:tblGrid>
      <w:tr>
        <w:trPr/>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315085" cy="175260"/>
                      <wp:effectExtent l="0" t="0" r="0" b="0"/>
                      <wp:wrapNone/>
                      <wp:docPr id="279" name="Frame279"/>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19710" cy="175260"/>
                      <wp:effectExtent l="0" t="0" r="0" b="0"/>
                      <wp:wrapNone/>
                      <wp:docPr id="280" name="Frame2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133985" cy="175260"/>
                      <wp:effectExtent l="0" t="0" r="0" b="0"/>
                      <wp:wrapNone/>
                      <wp:docPr id="281" name="Frame2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505460" cy="175260"/>
                      <wp:effectExtent l="0" t="0" r="0" b="0"/>
                      <wp:wrapNone/>
                      <wp:docPr id="282" name="Frame28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19710" cy="175260"/>
                      <wp:effectExtent l="0" t="0" r="0" b="0"/>
                      <wp:wrapNone/>
                      <wp:docPr id="283" name="Frame2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33985" cy="175260"/>
                      <wp:effectExtent l="0" t="0" r="0" b="0"/>
                      <wp:wrapNone/>
                      <wp:docPr id="284" name="Frame2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505460" cy="175260"/>
                      <wp:effectExtent l="0" t="0" r="0" b="0"/>
                      <wp:wrapNone/>
                      <wp:docPr id="285" name="Frame28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19710" cy="175260"/>
                      <wp:effectExtent l="0" t="0" r="0" b="0"/>
                      <wp:wrapNone/>
                      <wp:docPr id="286" name="Frame2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133985" cy="175260"/>
                      <wp:effectExtent l="0" t="0" r="0" b="0"/>
                      <wp:wrapNone/>
                      <wp:docPr id="287" name="Frame2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495935" cy="175260"/>
                      <wp:effectExtent l="0" t="0" r="0" b="0"/>
                      <wp:wrapNone/>
                      <wp:docPr id="288" name="Frame28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19710" cy="175260"/>
                      <wp:effectExtent l="0" t="0" r="0" b="0"/>
                      <wp:wrapNone/>
                      <wp:docPr id="289" name="Frame2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33680" cy="175260"/>
                      <wp:effectExtent l="0" t="0" r="0" b="0"/>
                      <wp:wrapNone/>
                      <wp:docPr id="290" name="Frame290"/>
                      <a:graphic xmlns:a="http://schemas.openxmlformats.org/drawingml/2006/main">
                        <a:graphicData uri="http://schemas.microsoft.com/office/word/2010/wordprocessingShape">
                          <wps:wsp>
                            <wps:cNvSpPr txBox="1"/>
                            <wps:spPr>
                              <a:xfrm>
                                <a:off x="0" y="0"/>
                                <a:ext cx="2336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385445" cy="175260"/>
                      <wp:effectExtent l="0" t="0" r="0" b="0"/>
                      <wp:wrapNone/>
                      <wp:docPr id="291" name="Frame291"/>
                      <a:graphic xmlns:a="http://schemas.openxmlformats.org/drawingml/2006/main">
                        <a:graphicData uri="http://schemas.microsoft.com/office/word/2010/wordprocessingShape">
                          <wps:wsp>
                            <wps:cNvSpPr txBox="1"/>
                            <wps:spPr>
                              <a:xfrm>
                                <a:off x="0" y="0"/>
                                <a:ext cx="385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19710" cy="175260"/>
                      <wp:effectExtent l="0" t="0" r="0" b="0"/>
                      <wp:wrapNone/>
                      <wp:docPr id="292" name="Frame2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133985" cy="175260"/>
                      <wp:effectExtent l="0" t="0" r="0" b="0"/>
                      <wp:wrapNone/>
                      <wp:docPr id="293" name="Frame2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505460" cy="175260"/>
                      <wp:effectExtent l="0" t="0" r="0" b="0"/>
                      <wp:wrapNone/>
                      <wp:docPr id="294" name="Frame29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19710" cy="175260"/>
                      <wp:effectExtent l="0" t="0" r="0" b="0"/>
                      <wp:wrapNone/>
                      <wp:docPr id="295" name="Frame2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33985" cy="175260"/>
                      <wp:effectExtent l="0" t="0" r="0" b="0"/>
                      <wp:wrapNone/>
                      <wp:docPr id="296" name="Frame2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534035" cy="175260"/>
                      <wp:effectExtent l="0" t="0" r="0" b="0"/>
                      <wp:wrapNone/>
                      <wp:docPr id="297" name="Frame297"/>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770" w:type="dxa"/>
            <w:gridSpan w:val="1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r>
      <w:tr>
        <w:trPr/>
        <w:tc>
          <w:tcPr>
            <w:tcW w:w="20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36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Logistics And Labor</w:t>
            </w:r>
          </w:p>
        </w:tc>
        <w:tc>
          <w:tcPr>
            <w:tcW w:w="346" w:type="dxa"/>
            <w:tcBorders/>
            <w:vAlign w:val="center"/>
          </w:tcPr>
          <w:p>
            <w:pPr>
              <w:pStyle w:val="TableContents"/>
              <w:bidi w:val="0"/>
              <w:spacing w:before="0" w:after="1"/>
              <w:ind w:left="0" w:right="0" w:hanging="0"/>
              <w:jc w:val="center"/>
              <w:rPr/>
            </w:pPr>
            <w:r>
              <w:rPr/>
              <w:t>​</w:t>
            </w:r>
          </w:p>
        </w:tc>
        <w:tc>
          <w:tcPr>
            <w:tcW w:w="2313"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International</w:t>
            </w:r>
          </w:p>
        </w:tc>
        <w:tc>
          <w:tcPr>
            <w:tcW w:w="346" w:type="dxa"/>
            <w:tcBorders/>
            <w:vAlign w:val="center"/>
          </w:tcPr>
          <w:p>
            <w:pPr>
              <w:pStyle w:val="TableContents"/>
              <w:bidi w:val="0"/>
              <w:spacing w:before="0" w:after="1"/>
              <w:ind w:left="0" w:right="0" w:hanging="0"/>
              <w:jc w:val="center"/>
              <w:rPr/>
            </w:pPr>
            <w:r>
              <w:rPr/>
              <w:t>​</w:t>
            </w:r>
          </w:p>
        </w:tc>
        <w:tc>
          <w:tcPr>
            <w:tcW w:w="240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0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36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Services</w:t>
            </w:r>
          </w:p>
        </w:tc>
        <w:tc>
          <w:tcPr>
            <w:tcW w:w="346" w:type="dxa"/>
            <w:tcBorders/>
            <w:vAlign w:val="center"/>
          </w:tcPr>
          <w:p>
            <w:pPr>
              <w:pStyle w:val="TableContents"/>
              <w:bidi w:val="0"/>
              <w:spacing w:before="0" w:after="1"/>
              <w:ind w:left="0" w:right="0" w:hanging="0"/>
              <w:jc w:val="center"/>
              <w:rPr/>
            </w:pPr>
            <w:r>
              <w:rPr/>
              <w:t>​</w:t>
            </w:r>
          </w:p>
        </w:tc>
        <w:tc>
          <w:tcPr>
            <w:tcW w:w="231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Trading</w:t>
            </w:r>
          </w:p>
        </w:tc>
        <w:tc>
          <w:tcPr>
            <w:tcW w:w="346" w:type="dxa"/>
            <w:tcBorders/>
            <w:vAlign w:val="center"/>
          </w:tcPr>
          <w:p>
            <w:pPr>
              <w:pStyle w:val="TableContents"/>
              <w:bidi w:val="0"/>
              <w:spacing w:before="0" w:after="1"/>
              <w:ind w:left="0" w:right="0" w:hanging="0"/>
              <w:jc w:val="center"/>
              <w:rPr/>
            </w:pPr>
            <w:r>
              <w:rPr/>
              <w:t>​</w:t>
            </w:r>
          </w:p>
        </w:tc>
        <w:tc>
          <w:tcPr>
            <w:tcW w:w="240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Segments</w:t>
            </w:r>
          </w:p>
        </w:tc>
      </w:tr>
      <w:tr>
        <w:trPr/>
        <w:tc>
          <w:tcPr>
            <w:tcW w:w="20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9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0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1"/>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1"/>
              <w:ind w:left="0" w:right="0" w:hanging="0"/>
              <w:jc w:val="center"/>
              <w:rPr/>
            </w:pPr>
            <w:r>
              <w:rPr/>
              <w:t>​</w:t>
            </w:r>
          </w:p>
        </w:tc>
        <w:tc>
          <w:tcPr>
            <w:tcW w:w="9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1"/>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1"/>
              <w:ind w:left="0" w:right="0" w:hanging="0"/>
              <w:jc w:val="center"/>
              <w:rPr/>
            </w:pPr>
            <w:r>
              <w:rPr/>
              <w:t>​</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20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354,126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868,909</w:t>
            </w:r>
          </w:p>
        </w:tc>
        <w:tc>
          <w:tcPr>
            <w:tcW w:w="346" w:type="dxa"/>
            <w:tcBorders/>
            <w:shd w:fill="CCEEFF" w:val="clear"/>
            <w:vAlign w:val="center"/>
          </w:tcPr>
          <w:p>
            <w:pPr>
              <w:pStyle w:val="TableContents"/>
              <w:bidi w:val="0"/>
              <w:spacing w:before="0" w:after="1"/>
              <w:ind w:left="0" w:right="0" w:hanging="0"/>
              <w:jc w:val="left"/>
              <w:rPr/>
            </w:pPr>
            <w:r>
              <w:rPr/>
              <w:t>​</w:t>
            </w:r>
          </w:p>
        </w:tc>
        <w:tc>
          <w:tcPr>
            <w:tcW w:w="3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868,909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354,126</w:t>
            </w:r>
          </w:p>
        </w:tc>
      </w:tr>
      <w:tr>
        <w:trPr/>
        <w:tc>
          <w:tcPr>
            <w:tcW w:w="207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Cost of revenues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319,226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849,409</w:t>
            </w:r>
          </w:p>
        </w:tc>
        <w:tc>
          <w:tcPr>
            <w:tcW w:w="346" w:type="dxa"/>
            <w:tcBorders/>
            <w:vAlign w:val="center"/>
          </w:tcPr>
          <w:p>
            <w:pPr>
              <w:pStyle w:val="TableContents"/>
              <w:bidi w:val="0"/>
              <w:spacing w:before="0" w:after="1"/>
              <w:ind w:left="0" w:right="0" w:hanging="0"/>
              <w:jc w:val="left"/>
              <w:rPr/>
            </w:pPr>
            <w:r>
              <w:rPr/>
              <w:t>​</w:t>
            </w:r>
          </w:p>
        </w:tc>
        <w:tc>
          <w:tcPr>
            <w:tcW w:w="368" w:type="dxa"/>
            <w:tcBorders/>
            <w:vAlign w:val="center"/>
          </w:tcPr>
          <w:p>
            <w:pPr>
              <w:pStyle w:val="TableContents"/>
              <w:bidi w:val="0"/>
              <w:spacing w:before="0" w:after="1"/>
              <w:ind w:left="0" w:right="0" w:hanging="0"/>
              <w:jc w:val="left"/>
              <w:rPr/>
            </w:pPr>
            <w:r>
              <w:rPr/>
              <w:t> </w:t>
            </w:r>
          </w:p>
        </w:tc>
        <w:tc>
          <w:tcPr>
            <w:tcW w:w="60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849,409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319,226</w:t>
            </w:r>
          </w:p>
        </w:tc>
      </w:tr>
      <w:tr>
        <w:trPr/>
        <w:tc>
          <w:tcPr>
            <w:tcW w:w="20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Gross profit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19,500</w:t>
            </w:r>
          </w:p>
        </w:tc>
        <w:tc>
          <w:tcPr>
            <w:tcW w:w="346" w:type="dxa"/>
            <w:tcBorders/>
            <w:shd w:fill="CCEEFF" w:val="clear"/>
            <w:vAlign w:val="center"/>
          </w:tcPr>
          <w:p>
            <w:pPr>
              <w:pStyle w:val="TableContents"/>
              <w:bidi w:val="0"/>
              <w:spacing w:before="0" w:after="1"/>
              <w:ind w:left="0" w:right="0" w:hanging="0"/>
              <w:jc w:val="left"/>
              <w:rPr/>
            </w:pPr>
            <w:r>
              <w:rPr/>
              <w:t>​</w:t>
            </w:r>
          </w:p>
        </w:tc>
        <w:tc>
          <w:tcPr>
            <w:tcW w:w="368" w:type="dxa"/>
            <w:tcBorders/>
            <w:shd w:fill="CCEEFF" w:val="clear"/>
            <w:vAlign w:val="center"/>
          </w:tcPr>
          <w:p>
            <w:pPr>
              <w:pStyle w:val="TableContents"/>
              <w:bidi w:val="0"/>
              <w:spacing w:before="0" w:after="1"/>
              <w:ind w:left="0" w:right="0" w:hanging="0"/>
              <w:jc w:val="left"/>
              <w:rPr/>
            </w:pPr>
            <w:r>
              <w:rPr/>
              <w:t> </w:t>
            </w:r>
          </w:p>
        </w:tc>
        <w:tc>
          <w:tcPr>
            <w:tcW w:w="60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34,900</w:t>
            </w:r>
          </w:p>
        </w:tc>
      </w:tr>
      <w:tr>
        <w:trPr/>
        <w:tc>
          <w:tcPr>
            <w:tcW w:w="207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16,251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113,660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20,084</w:t>
            </w:r>
          </w:p>
        </w:tc>
        <w:tc>
          <w:tcPr>
            <w:tcW w:w="346" w:type="dxa"/>
            <w:tcBorders/>
            <w:vAlign w:val="center"/>
          </w:tcPr>
          <w:p>
            <w:pPr>
              <w:pStyle w:val="TableContents"/>
              <w:bidi w:val="0"/>
              <w:spacing w:before="0" w:after="1"/>
              <w:ind w:left="0" w:right="0" w:hanging="0"/>
              <w:jc w:val="left"/>
              <w:rPr/>
            </w:pPr>
            <w:r>
              <w:rPr/>
              <w:t>​</w:t>
            </w:r>
          </w:p>
        </w:tc>
        <w:tc>
          <w:tcPr>
            <w:tcW w:w="368" w:type="dxa"/>
            <w:tcBorders/>
            <w:vAlign w:val="center"/>
          </w:tcPr>
          <w:p>
            <w:pPr>
              <w:pStyle w:val="TableContents"/>
              <w:bidi w:val="0"/>
              <w:spacing w:before="0" w:after="1"/>
              <w:ind w:left="0" w:right="0" w:hanging="0"/>
              <w:jc w:val="left"/>
              <w:rPr/>
            </w:pPr>
            <w:r>
              <w:rPr/>
              <w:t> </w:t>
            </w:r>
          </w:p>
        </w:tc>
        <w:tc>
          <w:tcPr>
            <w:tcW w:w="60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36,335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113,660</w:t>
            </w:r>
          </w:p>
        </w:tc>
      </w:tr>
      <w:tr>
        <w:trPr/>
        <w:tc>
          <w:tcPr>
            <w:tcW w:w="20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Segment operating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(16,251)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(78,760)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(584)</w:t>
            </w:r>
          </w:p>
        </w:tc>
        <w:tc>
          <w:tcPr>
            <w:tcW w:w="346" w:type="dxa"/>
            <w:tcBorders/>
            <w:shd w:fill="CCEEFF" w:val="clear"/>
            <w:vAlign w:val="center"/>
          </w:tcPr>
          <w:p>
            <w:pPr>
              <w:pStyle w:val="TableContents"/>
              <w:bidi w:val="0"/>
              <w:spacing w:before="0" w:after="1"/>
              <w:ind w:left="0" w:right="0" w:hanging="0"/>
              <w:jc w:val="left"/>
              <w:rPr/>
            </w:pPr>
            <w:r>
              <w:rPr/>
              <w:t>​</w:t>
            </w:r>
          </w:p>
        </w:tc>
        <w:tc>
          <w:tcPr>
            <w:tcW w:w="36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0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(16,835)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(78,760)</w:t>
            </w:r>
          </w:p>
        </w:tc>
      </w:tr>
    </w:tbl>
    <w:p>
      <w:pPr>
        <w:pStyle w:val="TextBody"/>
        <w:pBdr/>
        <w:bidi w:val="0"/>
        <w:spacing w:before="0" w:after="240"/>
        <w:ind w:left="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1756"/>
        <w:gridCol w:w="346"/>
        <w:gridCol w:w="211"/>
        <w:gridCol w:w="883"/>
        <w:gridCol w:w="346"/>
        <w:gridCol w:w="211"/>
        <w:gridCol w:w="883"/>
        <w:gridCol w:w="346"/>
        <w:gridCol w:w="211"/>
        <w:gridCol w:w="781"/>
        <w:gridCol w:w="346"/>
        <w:gridCol w:w="361"/>
        <w:gridCol w:w="596"/>
        <w:gridCol w:w="346"/>
        <w:gridCol w:w="211"/>
        <w:gridCol w:w="883"/>
        <w:gridCol w:w="346"/>
        <w:gridCol w:w="211"/>
        <w:gridCol w:w="931"/>
      </w:tblGrid>
      <w:tr>
        <w:trPr/>
        <w:tc>
          <w:tcPr>
            <w:tcW w:w="1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115060" cy="175260"/>
                      <wp:effectExtent l="0" t="0" r="0" b="0"/>
                      <wp:wrapNone/>
                      <wp:docPr id="298" name="Frame298"/>
                      <a:graphic xmlns:a="http://schemas.openxmlformats.org/drawingml/2006/main">
                        <a:graphicData uri="http://schemas.microsoft.com/office/word/2010/wordprocessingShape">
                          <wps:wsp>
                            <wps:cNvSpPr txBox="1"/>
                            <wps:spPr>
                              <a:xfrm>
                                <a:off x="0" y="0"/>
                                <a:ext cx="1115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19710" cy="175260"/>
                      <wp:effectExtent l="0" t="0" r="0" b="0"/>
                      <wp:wrapNone/>
                      <wp:docPr id="299" name="Frame2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33985" cy="175260"/>
                      <wp:effectExtent l="0" t="0" r="0" b="0"/>
                      <wp:wrapNone/>
                      <wp:docPr id="300" name="Frame3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560705" cy="175260"/>
                      <wp:effectExtent l="0" t="0" r="0" b="0"/>
                      <wp:wrapNone/>
                      <wp:docPr id="301" name="Frame301"/>
                      <a:graphic xmlns:a="http://schemas.openxmlformats.org/drawingml/2006/main">
                        <a:graphicData uri="http://schemas.microsoft.com/office/word/2010/wordprocessingShape">
                          <wps:wsp>
                            <wps:cNvSpPr txBox="1"/>
                            <wps:spPr>
                              <a:xfrm>
                                <a:off x="0" y="0"/>
                                <a:ext cx="5607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19710" cy="175260"/>
                      <wp:effectExtent l="0" t="0" r="0" b="0"/>
                      <wp:wrapNone/>
                      <wp:docPr id="302" name="Frame3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33985" cy="175260"/>
                      <wp:effectExtent l="0" t="0" r="0" b="0"/>
                      <wp:wrapNone/>
                      <wp:docPr id="303" name="Frame3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560705" cy="175260"/>
                      <wp:effectExtent l="0" t="0" r="0" b="0"/>
                      <wp:wrapNone/>
                      <wp:docPr id="304" name="Frame304"/>
                      <a:graphic xmlns:a="http://schemas.openxmlformats.org/drawingml/2006/main">
                        <a:graphicData uri="http://schemas.microsoft.com/office/word/2010/wordprocessingShape">
                          <wps:wsp>
                            <wps:cNvSpPr txBox="1"/>
                            <wps:spPr>
                              <a:xfrm>
                                <a:off x="0" y="0"/>
                                <a:ext cx="5607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19710" cy="175260"/>
                      <wp:effectExtent l="0" t="0" r="0" b="0"/>
                      <wp:wrapNone/>
                      <wp:docPr id="305" name="Frame3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133985" cy="175260"/>
                      <wp:effectExtent l="0" t="0" r="0" b="0"/>
                      <wp:wrapNone/>
                      <wp:docPr id="306" name="Frame3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495935" cy="175260"/>
                      <wp:effectExtent l="0" t="0" r="0" b="0"/>
                      <wp:wrapNone/>
                      <wp:docPr id="307" name="Frame30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19710" cy="175260"/>
                      <wp:effectExtent l="0" t="0" r="0" b="0"/>
                      <wp:wrapNone/>
                      <wp:docPr id="308" name="Frame3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29235" cy="175260"/>
                      <wp:effectExtent l="0" t="0" r="0" b="0"/>
                      <wp:wrapNone/>
                      <wp:docPr id="309" name="Frame30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378460" cy="175260"/>
                      <wp:effectExtent l="0" t="0" r="0" b="0"/>
                      <wp:wrapNone/>
                      <wp:docPr id="310" name="Frame310"/>
                      <a:graphic xmlns:a="http://schemas.openxmlformats.org/drawingml/2006/main">
                        <a:graphicData uri="http://schemas.microsoft.com/office/word/2010/wordprocessingShape">
                          <wps:wsp>
                            <wps:cNvSpPr txBox="1"/>
                            <wps:spPr>
                              <a:xfrm>
                                <a:off x="0" y="0"/>
                                <a:ext cx="37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19710" cy="175260"/>
                      <wp:effectExtent l="0" t="0" r="0" b="0"/>
                      <wp:wrapNone/>
                      <wp:docPr id="311" name="Frame3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33985" cy="175260"/>
                      <wp:effectExtent l="0" t="0" r="0" b="0"/>
                      <wp:wrapNone/>
                      <wp:docPr id="312" name="Frame3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560705" cy="175260"/>
                      <wp:effectExtent l="0" t="0" r="0" b="0"/>
                      <wp:wrapNone/>
                      <wp:docPr id="313" name="Frame313"/>
                      <a:graphic xmlns:a="http://schemas.openxmlformats.org/drawingml/2006/main">
                        <a:graphicData uri="http://schemas.microsoft.com/office/word/2010/wordprocessingShape">
                          <wps:wsp>
                            <wps:cNvSpPr txBox="1"/>
                            <wps:spPr>
                              <a:xfrm>
                                <a:off x="0" y="0"/>
                                <a:ext cx="5607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19710" cy="175260"/>
                      <wp:effectExtent l="0" t="0" r="0" b="0"/>
                      <wp:wrapNone/>
                      <wp:docPr id="314" name="Frame3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33985" cy="175260"/>
                      <wp:effectExtent l="0" t="0" r="0" b="0"/>
                      <wp:wrapNone/>
                      <wp:docPr id="315" name="Frame3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591185" cy="175260"/>
                      <wp:effectExtent l="0" t="0" r="0" b="0"/>
                      <wp:wrapNone/>
                      <wp:docPr id="316" name="Frame31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8103" w:type="dxa"/>
            <w:gridSpan w:val="1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r>
      <w:tr>
        <w:trPr/>
        <w:tc>
          <w:tcPr>
            <w:tcW w:w="17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534"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Logistics And Labor</w:t>
            </w:r>
          </w:p>
        </w:tc>
        <w:tc>
          <w:tcPr>
            <w:tcW w:w="346" w:type="dxa"/>
            <w:tcBorders/>
            <w:vAlign w:val="center"/>
          </w:tcPr>
          <w:p>
            <w:pPr>
              <w:pStyle w:val="TableContents"/>
              <w:bidi w:val="0"/>
              <w:spacing w:before="0" w:after="1"/>
              <w:ind w:left="0" w:right="0" w:hanging="0"/>
              <w:jc w:val="center"/>
              <w:rPr/>
            </w:pPr>
            <w:r>
              <w:rPr/>
              <w:t>​</w:t>
            </w:r>
          </w:p>
        </w:tc>
        <w:tc>
          <w:tcPr>
            <w:tcW w:w="229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International</w:t>
            </w:r>
          </w:p>
        </w:tc>
        <w:tc>
          <w:tcPr>
            <w:tcW w:w="346" w:type="dxa"/>
            <w:tcBorders/>
            <w:vAlign w:val="center"/>
          </w:tcPr>
          <w:p>
            <w:pPr>
              <w:pStyle w:val="TableContents"/>
              <w:bidi w:val="0"/>
              <w:spacing w:before="0" w:after="1"/>
              <w:ind w:left="0" w:right="0" w:hanging="0"/>
              <w:jc w:val="center"/>
              <w:rPr/>
            </w:pPr>
            <w:r>
              <w:rPr/>
              <w:t>​</w:t>
            </w:r>
          </w:p>
        </w:tc>
        <w:tc>
          <w:tcPr>
            <w:tcW w:w="2582"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7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53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Services</w:t>
            </w:r>
          </w:p>
        </w:tc>
        <w:tc>
          <w:tcPr>
            <w:tcW w:w="346" w:type="dxa"/>
            <w:tcBorders/>
            <w:vAlign w:val="center"/>
          </w:tcPr>
          <w:p>
            <w:pPr>
              <w:pStyle w:val="TableContents"/>
              <w:bidi w:val="0"/>
              <w:spacing w:before="0" w:after="1"/>
              <w:ind w:left="0" w:right="0" w:hanging="0"/>
              <w:jc w:val="center"/>
              <w:rPr/>
            </w:pPr>
            <w:r>
              <w:rPr/>
              <w:t>​</w:t>
            </w:r>
          </w:p>
        </w:tc>
        <w:tc>
          <w:tcPr>
            <w:tcW w:w="229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Trading</w:t>
            </w:r>
          </w:p>
        </w:tc>
        <w:tc>
          <w:tcPr>
            <w:tcW w:w="346" w:type="dxa"/>
            <w:tcBorders/>
            <w:vAlign w:val="center"/>
          </w:tcPr>
          <w:p>
            <w:pPr>
              <w:pStyle w:val="TableContents"/>
              <w:bidi w:val="0"/>
              <w:spacing w:before="0" w:after="1"/>
              <w:ind w:left="0" w:right="0" w:hanging="0"/>
              <w:jc w:val="center"/>
              <w:rPr/>
            </w:pPr>
            <w:r>
              <w:rPr/>
              <w:t>​</w:t>
            </w:r>
          </w:p>
        </w:tc>
        <w:tc>
          <w:tcPr>
            <w:tcW w:w="258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Segments</w:t>
            </w:r>
          </w:p>
        </w:tc>
      </w:tr>
      <w:tr>
        <w:trPr/>
        <w:tc>
          <w:tcPr>
            <w:tcW w:w="17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9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109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9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109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7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9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1"/>
              <w:ind w:left="0" w:right="0" w:hanging="0"/>
              <w:jc w:val="center"/>
              <w:rPr/>
            </w:pPr>
            <w:r>
              <w:rPr/>
              <w:t>​</w:t>
            </w:r>
          </w:p>
        </w:tc>
        <w:tc>
          <w:tcPr>
            <w:tcW w:w="109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1"/>
              <w:ind w:left="0" w:right="0" w:hanging="0"/>
              <w:jc w:val="center"/>
              <w:rPr/>
            </w:pPr>
            <w:r>
              <w:rPr/>
              <w:t>​</w:t>
            </w:r>
          </w:p>
        </w:tc>
        <w:tc>
          <w:tcPr>
            <w:tcW w:w="9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1"/>
              <w:ind w:left="0" w:right="0" w:hanging="0"/>
              <w:jc w:val="center"/>
              <w:rPr/>
            </w:pPr>
            <w:r>
              <w:rPr/>
              <w:t>​</w:t>
            </w:r>
          </w:p>
        </w:tc>
        <w:tc>
          <w:tcPr>
            <w:tcW w:w="109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1"/>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17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92,700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833,925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868,909</w:t>
            </w:r>
          </w:p>
        </w:tc>
        <w:tc>
          <w:tcPr>
            <w:tcW w:w="346"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961,609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833,925</w:t>
            </w:r>
          </w:p>
        </w:tc>
      </w:tr>
      <w:tr>
        <w:trPr/>
        <w:tc>
          <w:tcPr>
            <w:tcW w:w="175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Cost of revenues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72,833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742,769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849,409</w:t>
            </w:r>
          </w:p>
        </w:tc>
        <w:tc>
          <w:tcPr>
            <w:tcW w:w="346"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 </w:t>
            </w:r>
          </w:p>
        </w:tc>
        <w:tc>
          <w:tcPr>
            <w:tcW w:w="5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922,242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742,769</w:t>
            </w:r>
          </w:p>
        </w:tc>
      </w:tr>
      <w:tr>
        <w:trPr/>
        <w:tc>
          <w:tcPr>
            <w:tcW w:w="17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Gross profit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19,867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91,156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19,500</w:t>
            </w:r>
          </w:p>
        </w:tc>
        <w:tc>
          <w:tcPr>
            <w:tcW w:w="346"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 </w:t>
            </w:r>
          </w:p>
        </w:tc>
        <w:tc>
          <w:tcPr>
            <w:tcW w:w="5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39,367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91,156</w:t>
            </w:r>
          </w:p>
        </w:tc>
      </w:tr>
      <w:tr>
        <w:trPr/>
        <w:tc>
          <w:tcPr>
            <w:tcW w:w="175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156,689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246,070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20,084</w:t>
            </w:r>
          </w:p>
        </w:tc>
        <w:tc>
          <w:tcPr>
            <w:tcW w:w="346"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 </w:t>
            </w:r>
          </w:p>
        </w:tc>
        <w:tc>
          <w:tcPr>
            <w:tcW w:w="5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176,773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246,070</w:t>
            </w:r>
          </w:p>
        </w:tc>
      </w:tr>
      <w:tr>
        <w:trPr/>
        <w:tc>
          <w:tcPr>
            <w:tcW w:w="17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Segment operating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(136,822)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(154,914)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(584)</w:t>
            </w:r>
          </w:p>
        </w:tc>
        <w:tc>
          <w:tcPr>
            <w:tcW w:w="346" w:type="dxa"/>
            <w:tcBorders/>
            <w:shd w:fill="CCEEFF" w:val="clear"/>
            <w:vAlign w:val="center"/>
          </w:tcPr>
          <w:p>
            <w:pPr>
              <w:pStyle w:val="TableContents"/>
              <w:bidi w:val="0"/>
              <w:spacing w:before="0" w:after="1"/>
              <w:ind w:left="0" w:right="0" w:hanging="0"/>
              <w:jc w:val="left"/>
              <w:rPr/>
            </w:pPr>
            <w:r>
              <w:rPr/>
              <w:t>​</w:t>
            </w:r>
          </w:p>
        </w:tc>
        <w:tc>
          <w:tcPr>
            <w:tcW w:w="36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(137,406)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(154,914)</w:t>
            </w:r>
          </w:p>
        </w:tc>
      </w:tr>
    </w:tbl>
    <w:p>
      <w:pPr>
        <w:pStyle w:val="TextBody"/>
        <w:pBdr/>
        <w:bidi w:val="0"/>
        <w:spacing w:before="0" w:after="240"/>
        <w:ind w:left="0" w:right="0" w:hanging="360"/>
        <w:jc w:val="both"/>
        <w:rPr/>
      </w:pPr>
      <w:r>
        <w:rPr/>
        <w:t>​</w:t>
      </w:r>
    </w:p>
    <w:p>
      <w:pPr>
        <w:pStyle w:val="TextBody"/>
        <w:pBdr/>
        <w:bidi w:val="0"/>
        <w:spacing w:before="0" w:after="140"/>
        <w:ind w:left="0" w:right="0" w:hanging="360"/>
        <w:jc w:val="both"/>
        <w:rPr>
          <w:rFonts w:ascii="Times New Roman;Times;serif" w:hAnsi="Times New Roman;Times;serif"/>
          <w:b/>
          <w:i/>
          <w:sz w:val="20"/>
        </w:rPr>
      </w:pPr>
      <w:r>
        <w:rPr>
          <w:rFonts w:ascii="Times New Roman;Times;serif" w:hAnsi="Times New Roman;Times;serif"/>
          <w:b/>
          <w:i/>
          <w:sz w:val="20"/>
        </w:rPr>
        <w:t>Reconciliation of Segment Operating Loss to Consolidated Loss Before Income Taxes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Total reportable segment operating results are reconciled to the Company’s consolidated loss from continuing operations before income taxes below, with all corporate unallocated operating costs and non-operating adjustments presented as reconciling items in accordance with ASC 280</w:t>
        <w:noBreakHyphen/>
        <w:t>10</w:t>
        <w:noBreakHyphen/>
        <w:t>50</w:t>
        <w:noBreakHyphen/>
        <w:t>30.</w:t>
      </w:r>
    </w:p>
    <w:p>
      <w:pPr>
        <w:pStyle w:val="TextBody"/>
        <w:pBdr/>
        <w:bidi w:val="0"/>
        <w:spacing w:before="0" w:after="240"/>
        <w:ind w:left="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4066"/>
        <w:gridCol w:w="346"/>
        <w:gridCol w:w="211"/>
        <w:gridCol w:w="891"/>
        <w:gridCol w:w="346"/>
        <w:gridCol w:w="211"/>
        <w:gridCol w:w="891"/>
        <w:gridCol w:w="346"/>
        <w:gridCol w:w="211"/>
        <w:gridCol w:w="1041"/>
        <w:gridCol w:w="346"/>
        <w:gridCol w:w="211"/>
        <w:gridCol w:w="1088"/>
      </w:tblGrid>
      <w:tr>
        <w:trPr/>
        <w:tc>
          <w:tcPr>
            <w:tcW w:w="4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581910" cy="175260"/>
                      <wp:effectExtent l="0" t="0" r="0" b="0"/>
                      <wp:wrapNone/>
                      <wp:docPr id="317" name="Frame317"/>
                      <a:graphic xmlns:a="http://schemas.openxmlformats.org/drawingml/2006/main">
                        <a:graphicData uri="http://schemas.microsoft.com/office/word/2010/wordprocessingShape">
                          <wps:wsp>
                            <wps:cNvSpPr txBox="1"/>
                            <wps:spPr>
                              <a:xfrm>
                                <a:off x="0" y="0"/>
                                <a:ext cx="2581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19710" cy="175260"/>
                      <wp:effectExtent l="0" t="0" r="0" b="0"/>
                      <wp:wrapNone/>
                      <wp:docPr id="318" name="Frame3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133985" cy="175260"/>
                      <wp:effectExtent l="0" t="0" r="0" b="0"/>
                      <wp:wrapNone/>
                      <wp:docPr id="319" name="Frame3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565785" cy="175260"/>
                      <wp:effectExtent l="0" t="0" r="0" b="0"/>
                      <wp:wrapNone/>
                      <wp:docPr id="320" name="Frame320"/>
                      <a:graphic xmlns:a="http://schemas.openxmlformats.org/drawingml/2006/main">
                        <a:graphicData uri="http://schemas.microsoft.com/office/word/2010/wordprocessingShape">
                          <wps:wsp>
                            <wps:cNvSpPr txBox="1"/>
                            <wps:spPr>
                              <a:xfrm>
                                <a:off x="0" y="0"/>
                                <a:ext cx="565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19710" cy="175260"/>
                      <wp:effectExtent l="0" t="0" r="0" b="0"/>
                      <wp:wrapNone/>
                      <wp:docPr id="321" name="Frame3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133985" cy="175260"/>
                      <wp:effectExtent l="0" t="0" r="0" b="0"/>
                      <wp:wrapNone/>
                      <wp:docPr id="322" name="Frame3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565785" cy="175260"/>
                      <wp:effectExtent l="0" t="0" r="0" b="0"/>
                      <wp:wrapNone/>
                      <wp:docPr id="323" name="Frame323"/>
                      <a:graphic xmlns:a="http://schemas.openxmlformats.org/drawingml/2006/main">
                        <a:graphicData uri="http://schemas.microsoft.com/office/word/2010/wordprocessingShape">
                          <wps:wsp>
                            <wps:cNvSpPr txBox="1"/>
                            <wps:spPr>
                              <a:xfrm>
                                <a:off x="0" y="0"/>
                                <a:ext cx="565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19710" cy="175260"/>
                      <wp:effectExtent l="0" t="0" r="0" b="0"/>
                      <wp:wrapNone/>
                      <wp:docPr id="324" name="Frame3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133985" cy="175260"/>
                      <wp:effectExtent l="0" t="0" r="0" b="0"/>
                      <wp:wrapNone/>
                      <wp:docPr id="325" name="Frame3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61035" cy="175260"/>
                      <wp:effectExtent l="0" t="0" r="0" b="0"/>
                      <wp:wrapNone/>
                      <wp:docPr id="326" name="Frame326"/>
                      <a:graphic xmlns:a="http://schemas.openxmlformats.org/drawingml/2006/main">
                        <a:graphicData uri="http://schemas.microsoft.com/office/word/2010/wordprocessingShape">
                          <wps:wsp>
                            <wps:cNvSpPr txBox="1"/>
                            <wps:spPr>
                              <a:xfrm>
                                <a:off x="0" y="0"/>
                                <a:ext cx="661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19710" cy="175260"/>
                      <wp:effectExtent l="0" t="0" r="0" b="0"/>
                      <wp:wrapNone/>
                      <wp:docPr id="327" name="Frame3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133985" cy="175260"/>
                      <wp:effectExtent l="0" t="0" r="0" b="0"/>
                      <wp:wrapNone/>
                      <wp:docPr id="328" name="Frame3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90880" cy="175260"/>
                      <wp:effectExtent l="0" t="0" r="0" b="0"/>
                      <wp:wrapNone/>
                      <wp:docPr id="329" name="Frame329"/>
                      <a:graphic xmlns:a="http://schemas.openxmlformats.org/drawingml/2006/main">
                        <a:graphicData uri="http://schemas.microsoft.com/office/word/2010/wordprocessingShape">
                          <wps:wsp>
                            <wps:cNvSpPr txBox="1"/>
                            <wps:spPr>
                              <a:xfrm>
                                <a:off x="0" y="0"/>
                                <a:ext cx="690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55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46" w:type="dxa"/>
            <w:tcBorders/>
            <w:vAlign w:val="center"/>
          </w:tcPr>
          <w:p>
            <w:pPr>
              <w:pStyle w:val="TableContents"/>
              <w:bidi w:val="0"/>
              <w:spacing w:before="0" w:after="1"/>
              <w:ind w:left="0" w:right="0" w:hanging="0"/>
              <w:jc w:val="center"/>
              <w:rPr/>
            </w:pPr>
            <w:r>
              <w:rPr/>
              <w:t>  ​ ​ ​</w:t>
            </w:r>
          </w:p>
        </w:tc>
        <w:tc>
          <w:tcPr>
            <w:tcW w:w="2897"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40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55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46" w:type="dxa"/>
            <w:tcBorders/>
            <w:vAlign w:val="center"/>
          </w:tcPr>
          <w:p>
            <w:pPr>
              <w:pStyle w:val="TableContents"/>
              <w:bidi w:val="0"/>
              <w:spacing w:before="0" w:after="1"/>
              <w:ind w:left="0" w:right="0" w:hanging="0"/>
              <w:jc w:val="center"/>
              <w:rPr/>
            </w:pPr>
            <w:r>
              <w:rPr/>
              <w:t>​</w:t>
            </w:r>
          </w:p>
        </w:tc>
        <w:tc>
          <w:tcPr>
            <w:tcW w:w="289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40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11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12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129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0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0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1"/>
              <w:ind w:left="0" w:right="0" w:hanging="0"/>
              <w:jc w:val="center"/>
              <w:rPr/>
            </w:pPr>
            <w:r>
              <w:rPr/>
              <w:t>​</w:t>
            </w:r>
          </w:p>
        </w:tc>
        <w:tc>
          <w:tcPr>
            <w:tcW w:w="110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1"/>
              <w:ind w:left="0" w:right="0" w:hanging="0"/>
              <w:jc w:val="center"/>
              <w:rPr/>
            </w:pPr>
            <w:r>
              <w:rPr/>
              <w:t>​</w:t>
            </w:r>
          </w:p>
        </w:tc>
        <w:tc>
          <w:tcPr>
            <w:tcW w:w="125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1"/>
              <w:ind w:left="0" w:right="0" w:hanging="0"/>
              <w:jc w:val="center"/>
              <w:rPr/>
            </w:pPr>
            <w:r>
              <w:rPr/>
              <w:t>​</w:t>
            </w:r>
          </w:p>
        </w:tc>
        <w:tc>
          <w:tcPr>
            <w:tcW w:w="129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406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segment operating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9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(16,835)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9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(78,760)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4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(137,406)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88"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(154,914)</w:t>
            </w:r>
          </w:p>
        </w:tc>
      </w:tr>
      <w:tr>
        <w:trPr/>
        <w:tc>
          <w:tcPr>
            <w:tcW w:w="40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88" w:type="dxa"/>
            <w:tcBorders/>
            <w:vAlign w:val="center"/>
          </w:tcPr>
          <w:p>
            <w:pPr>
              <w:pStyle w:val="TableContents"/>
              <w:bidi w:val="0"/>
              <w:spacing w:before="0" w:after="1"/>
              <w:ind w:left="0" w:right="0" w:hanging="0"/>
              <w:jc w:val="left"/>
              <w:rPr/>
            </w:pPr>
            <w:r>
              <w:rPr/>
              <w:t>​</w:t>
            </w:r>
          </w:p>
        </w:tc>
      </w:tr>
      <w:tr>
        <w:trPr/>
        <w:tc>
          <w:tcPr>
            <w:tcW w:w="4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unallocated operating adjustments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88" w:type="dxa"/>
            <w:tcBorders/>
            <w:shd w:fill="CCEEFF" w:val="clear"/>
            <w:vAlign w:val="center"/>
          </w:tcPr>
          <w:p>
            <w:pPr>
              <w:pStyle w:val="TableContents"/>
              <w:bidi w:val="0"/>
              <w:spacing w:before="0" w:after="1"/>
              <w:ind w:left="0" w:right="0" w:hanging="0"/>
              <w:jc w:val="right"/>
              <w:rPr/>
            </w:pPr>
            <w:r>
              <w:rPr/>
              <w:t>—</w:t>
            </w:r>
          </w:p>
        </w:tc>
      </w:tr>
      <w:tr>
        <w:trPr/>
        <w:tc>
          <w:tcPr>
            <w:tcW w:w="40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general and administrative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(850,780)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(691,645)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(1,480,346)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(1,559,754)</w:t>
            </w:r>
          </w:p>
        </w:tc>
      </w:tr>
      <w:tr>
        <w:trPr/>
        <w:tc>
          <w:tcPr>
            <w:tcW w:w="4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Share-based compensation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(14,182)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(10,444)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(28,364)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(26,629)</w:t>
            </w:r>
          </w:p>
        </w:tc>
      </w:tr>
      <w:tr>
        <w:trPr/>
        <w:tc>
          <w:tcPr>
            <w:tcW w:w="40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4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8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r>
      <w:tr>
        <w:trPr/>
        <w:tc>
          <w:tcPr>
            <w:tcW w:w="406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corporate 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(864,962)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(702,089)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(1,508,710)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(1,586,383)</w:t>
            </w:r>
          </w:p>
        </w:tc>
      </w:tr>
      <w:tr>
        <w:trPr/>
        <w:tc>
          <w:tcPr>
            <w:tcW w:w="40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88" w:type="dxa"/>
            <w:tcBorders/>
            <w:vAlign w:val="center"/>
          </w:tcPr>
          <w:p>
            <w:pPr>
              <w:pStyle w:val="TableContents"/>
              <w:bidi w:val="0"/>
              <w:spacing w:before="0" w:after="1"/>
              <w:ind w:left="0" w:right="0" w:hanging="0"/>
              <w:jc w:val="left"/>
              <w:rPr/>
            </w:pPr>
            <w:r>
              <w:rPr/>
              <w:t>​</w:t>
            </w:r>
          </w:p>
        </w:tc>
      </w:tr>
      <w:tr>
        <w:trPr/>
        <w:tc>
          <w:tcPr>
            <w:tcW w:w="406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Non-operating adjustments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88" w:type="dxa"/>
            <w:tcBorders/>
            <w:shd w:fill="CCEEFF" w:val="clear"/>
            <w:vAlign w:val="center"/>
          </w:tcPr>
          <w:p>
            <w:pPr>
              <w:pStyle w:val="TableContents"/>
              <w:bidi w:val="0"/>
              <w:spacing w:before="0" w:after="1"/>
              <w:ind w:left="0" w:right="0" w:hanging="0"/>
              <w:jc w:val="right"/>
              <w:rPr/>
            </w:pPr>
            <w:r>
              <w:rPr/>
              <w:t>—</w:t>
            </w:r>
          </w:p>
        </w:tc>
      </w:tr>
      <w:tr>
        <w:trPr/>
        <w:tc>
          <w:tcPr>
            <w:tcW w:w="40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88" w:type="dxa"/>
            <w:tcBorders/>
            <w:vAlign w:val="center"/>
          </w:tcPr>
          <w:p>
            <w:pPr>
              <w:pStyle w:val="TableContents"/>
              <w:bidi w:val="0"/>
              <w:spacing w:before="0" w:after="1"/>
              <w:ind w:left="0" w:right="0" w:hanging="0"/>
              <w:jc w:val="left"/>
              <w:rPr/>
            </w:pPr>
            <w:r>
              <w:rPr/>
              <w:t>​</w:t>
            </w:r>
          </w:p>
        </w:tc>
      </w:tr>
      <w:tr>
        <w:trPr/>
        <w:tc>
          <w:tcPr>
            <w:tcW w:w="406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Interest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264,695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272,228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415,837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480,318</w:t>
            </w:r>
          </w:p>
        </w:tc>
      </w:tr>
      <w:tr>
        <w:trPr/>
        <w:tc>
          <w:tcPr>
            <w:tcW w:w="40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88" w:type="dxa"/>
            <w:tcBorders/>
            <w:vAlign w:val="center"/>
          </w:tcPr>
          <w:p>
            <w:pPr>
              <w:pStyle w:val="TableContents"/>
              <w:bidi w:val="0"/>
              <w:spacing w:before="0" w:after="1"/>
              <w:ind w:left="0" w:right="0" w:hanging="0"/>
              <w:jc w:val="left"/>
              <w:rPr/>
            </w:pPr>
            <w:r>
              <w:rPr/>
              <w:t>​</w:t>
            </w:r>
          </w:p>
        </w:tc>
      </w:tr>
      <w:tr>
        <w:trPr/>
        <w:tc>
          <w:tcPr>
            <w:tcW w:w="406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Interest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(6,799)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(8,060)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(14,499)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(16,872)</w:t>
            </w:r>
          </w:p>
        </w:tc>
      </w:tr>
      <w:tr>
        <w:trPr/>
        <w:tc>
          <w:tcPr>
            <w:tcW w:w="40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88" w:type="dxa"/>
            <w:tcBorders/>
            <w:vAlign w:val="center"/>
          </w:tcPr>
          <w:p>
            <w:pPr>
              <w:pStyle w:val="TableContents"/>
              <w:bidi w:val="0"/>
              <w:spacing w:before="0" w:after="1"/>
              <w:ind w:left="0" w:right="0" w:hanging="0"/>
              <w:jc w:val="left"/>
              <w:rPr/>
            </w:pPr>
            <w:r>
              <w:rPr/>
              <w:t>​</w:t>
            </w:r>
          </w:p>
        </w:tc>
      </w:tr>
      <w:tr>
        <w:trPr/>
        <w:tc>
          <w:tcPr>
            <w:tcW w:w="406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Loss on disposal of Edward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(297,610)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(297,610)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88" w:type="dxa"/>
            <w:tcBorders/>
            <w:shd w:fill="CCEEFF" w:val="clear"/>
            <w:vAlign w:val="center"/>
          </w:tcPr>
          <w:p>
            <w:pPr>
              <w:pStyle w:val="TableContents"/>
              <w:bidi w:val="0"/>
              <w:spacing w:before="0" w:after="1"/>
              <w:ind w:left="0" w:right="0" w:hanging="0"/>
              <w:jc w:val="right"/>
              <w:rPr/>
            </w:pPr>
            <w:r>
              <w:rPr/>
              <w:t>—</w:t>
            </w:r>
          </w:p>
        </w:tc>
      </w:tr>
      <w:tr>
        <w:trPr/>
        <w:tc>
          <w:tcPr>
            <w:tcW w:w="40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88" w:type="dxa"/>
            <w:tcBorders/>
            <w:vAlign w:val="center"/>
          </w:tcPr>
          <w:p>
            <w:pPr>
              <w:pStyle w:val="TableContents"/>
              <w:bidi w:val="0"/>
              <w:spacing w:before="0" w:after="1"/>
              <w:ind w:left="0" w:right="0" w:hanging="0"/>
              <w:jc w:val="left"/>
              <w:rPr/>
            </w:pPr>
            <w:r>
              <w:rPr/>
              <w:t>​</w:t>
            </w:r>
          </w:p>
        </w:tc>
      </w:tr>
      <w:tr>
        <w:trPr/>
        <w:tc>
          <w:tcPr>
            <w:tcW w:w="406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income,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993,766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17,140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1,002,778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29,756</w:t>
            </w:r>
          </w:p>
        </w:tc>
      </w:tr>
      <w:tr>
        <w:trPr/>
        <w:tc>
          <w:tcPr>
            <w:tcW w:w="40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88" w:type="dxa"/>
            <w:tcBorders/>
            <w:vAlign w:val="center"/>
          </w:tcPr>
          <w:p>
            <w:pPr>
              <w:pStyle w:val="TableContents"/>
              <w:bidi w:val="0"/>
              <w:spacing w:before="0" w:after="1"/>
              <w:ind w:left="0" w:right="0" w:hanging="0"/>
              <w:jc w:val="left"/>
              <w:rPr/>
            </w:pPr>
            <w:r>
              <w:rPr/>
              <w:t>​</w:t>
            </w:r>
          </w:p>
        </w:tc>
      </w:tr>
      <w:tr>
        <w:trPr/>
        <w:tc>
          <w:tcPr>
            <w:tcW w:w="406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non-operating income (expense),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954,052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281,308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1,106,506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493,202</w:t>
            </w:r>
          </w:p>
        </w:tc>
      </w:tr>
      <w:tr>
        <w:trPr/>
        <w:tc>
          <w:tcPr>
            <w:tcW w:w="40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88" w:type="dxa"/>
            <w:tcBorders/>
            <w:vAlign w:val="center"/>
          </w:tcPr>
          <w:p>
            <w:pPr>
              <w:pStyle w:val="TableContents"/>
              <w:bidi w:val="0"/>
              <w:spacing w:before="0" w:after="1"/>
              <w:ind w:left="0" w:right="0" w:hanging="0"/>
              <w:jc w:val="left"/>
              <w:rPr/>
            </w:pPr>
            <w:r>
              <w:rPr/>
              <w:t>​</w:t>
            </w:r>
          </w:p>
        </w:tc>
      </w:tr>
      <w:tr>
        <w:trPr/>
        <w:tc>
          <w:tcPr>
            <w:tcW w:w="406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Loss from continuing operations before 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72,255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(499,541)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(539,610)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(1,248,095)</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0" w:right="0" w:hanging="360"/>
        <w:jc w:val="both"/>
        <w:rPr>
          <w:rFonts w:ascii="Times New Roman;Times;serif" w:hAnsi="Times New Roman;Times;serif"/>
          <w:b/>
          <w:i/>
          <w:sz w:val="20"/>
        </w:rPr>
      </w:pPr>
      <w:bookmarkStart w:id="1366" w:name="Tc_eryYl2V9JEOJxPf5l814Sg_6_11"/>
      <w:bookmarkStart w:id="1367" w:name="Tc_cl4ke3EKeE6K5C2Mt0Wn7Q_6_8"/>
      <w:bookmarkStart w:id="1368" w:name="Tc_vagV7GJ4TUO30XrkghcbYw_6_5"/>
      <w:bookmarkStart w:id="1369" w:name="Tc_qIL2jf6OS0-mVQad3VPcrg_6_2"/>
      <w:bookmarkStart w:id="1370" w:name="Tc_7YW6uawpOUieg1u3goq6jQ_6_0"/>
      <w:bookmarkStart w:id="1371" w:name="Tc_25DbceQH8UOwFISmXpmbDw_5_0"/>
      <w:bookmarkStart w:id="1372" w:name="Tc_4w-Mfwr4fkaCWoG-CZ3vQQ_4_11"/>
      <w:bookmarkStart w:id="1373" w:name="Tc_PPEWyYgxrEyG2z4INvcVxA_4_8"/>
      <w:bookmarkStart w:id="1374" w:name="Tc_Uzn11JYWYEeIHizt4Bs-Yg_4_5"/>
      <w:bookmarkStart w:id="1375" w:name="Tc_X2o7AQqu0U6TgYcEzvphzA_4_3"/>
      <w:bookmarkStart w:id="1376" w:name="Tc_6zj4UyW4VE2AM2nkttYhvg_4_2"/>
      <w:bookmarkStart w:id="1377" w:name="Tc_aV7VteqcNEauNgBaTkTbdA_4_0"/>
      <w:bookmarkStart w:id="1378" w:name="Tc_UvZdJMG4tUiLvC2p50eEKQ_3_11"/>
      <w:bookmarkStart w:id="1379" w:name="Tc_Djxj3xkP3kOdbAa642R8_g_3_8"/>
      <w:bookmarkStart w:id="1380" w:name="Tc_2Nsoj9q5lkW6YeJpAuEdzg_3_5"/>
      <w:bookmarkStart w:id="1381" w:name="Tc_hEpxCGOR_kCip2Wqi_zigQ_3_2"/>
      <w:bookmarkStart w:id="1382" w:name="Tc_Epza8YF8tUq2n75Xhi9OjQ_2_8"/>
      <w:bookmarkStart w:id="1383" w:name="Tc_ShTbTaIfWkaZ2X1SFTRPyw_2_2"/>
      <w:bookmarkStart w:id="1384" w:name="Tc_LJxECpZ0UEe_1IbbtaLZOQ_1_8"/>
      <w:bookmarkStart w:id="1385" w:name="Tc_6KnWclYJdEa1LsYaD9Icvg_1_2"/>
      <w:bookmarkStart w:id="1386" w:name="Tc_DqXLbUlBpU2LJIB0ZyXE3A_12_5"/>
      <w:bookmarkStart w:id="1387" w:name="Tc_28QNVPjiWkm_i-CwDouazw_12_2"/>
      <w:bookmarkStart w:id="1388" w:name="Tc_3LD3sdv4kEulc_naJ3tb4A_12_0"/>
      <w:bookmarkStart w:id="1389" w:name="Tc_45GOJjRbf0C-K7pg2p6iyg_11_0"/>
      <w:bookmarkStart w:id="1390" w:name="Tc_aNKvTBx040expTaUHrhE7Q_10_0"/>
      <w:bookmarkStart w:id="1391" w:name="Tc_2nWAU-WpFEq1hdYtc4nHKA_9_6"/>
      <w:bookmarkStart w:id="1392" w:name="Tc_QLKZRH_WukKU_87IW5fOzQ_9_0"/>
      <w:bookmarkStart w:id="1393" w:name="Tc_pF7lIvDZcE6ezjqHZAzwKQ_8_0"/>
      <w:bookmarkStart w:id="1394" w:name="Tc_pPNIdHUpiEC4tMMOf3EzQw_7_0"/>
      <w:bookmarkStart w:id="1395" w:name="Tc_Az2jllZtGEGuK-ZOUs8kUg_6_0"/>
      <w:bookmarkStart w:id="1396" w:name="Tc_RKJxJ-pVPUicGs6ewyXXNQ_5_0"/>
      <w:bookmarkStart w:id="1397" w:name="Tc_X7Lcaou9nUa3nit2Zz2qIg_4_6"/>
      <w:bookmarkStart w:id="1398" w:name="Tc_xpf8VJnDzE-yElJYAENQLA_4_0"/>
      <w:bookmarkStart w:id="1399" w:name="Tc_S2tKptwazEygDCu4-j4oWg_3_5"/>
      <w:bookmarkStart w:id="1400" w:name="Tc_KwNbf3T8UUWMBptRyWujVA_3_2"/>
      <w:bookmarkStart w:id="1401" w:name="Tc_Og06WvPdKUCh23oJCBxGJA_3_0"/>
      <w:bookmarkStart w:id="1402" w:name="Tc_Sf44J3Uzh0eiYjIcwv09Sw_2_5"/>
      <w:bookmarkStart w:id="1403" w:name="Tc_cQGFlbN4D0y7tW75auf6tQ_2_2"/>
      <w:bookmarkStart w:id="1404" w:name="Tc_Y2jxPou-M0-tezsV61dL2w_1_5"/>
      <w:bookmarkStart w:id="1405" w:name="Tc_6UHwnaMh0UGuzpeK4eG3_g_1_2"/>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r>
        <w:rPr>
          <w:rFonts w:ascii="Times New Roman;Times;serif" w:hAnsi="Times New Roman;Times;serif"/>
          <w:b/>
          <w:i/>
          <w:sz w:val="20"/>
        </w:rPr>
        <w:t>Segment Assets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CODM only reviews operating assets directly attributable to each reportable segment for performance evaluation and resource allocation purposes. Corporate-managed financial assets, centralized cash holdings, loan receivables, investment receivables and other shared corporate assets are not allocated to operating segments. The following table reconciles segment operating assets to consolidated total assets.</w:t>
      </w:r>
    </w:p>
    <w:p>
      <w:pPr>
        <w:pStyle w:val="TextBody"/>
        <w:pBdr/>
        <w:bidi w:val="0"/>
        <w:spacing w:before="0" w:after="240"/>
        <w:ind w:left="0" w:right="0" w:hanging="360"/>
        <w:jc w:val="both"/>
        <w:rPr/>
      </w:pPr>
      <w:r>
        <w:rPr/>
        <w:t>​</w:t>
      </w:r>
    </w:p>
    <w:tbl>
      <w:tblPr>
        <w:tblW w:w="7686" w:type="dxa"/>
        <w:jc w:val="left"/>
        <w:tblInd w:w="0" w:type="dxa"/>
        <w:tblLayout w:type="fixed"/>
        <w:tblCellMar>
          <w:top w:w="0" w:type="dxa"/>
          <w:left w:w="0" w:type="dxa"/>
          <w:bottom w:w="0" w:type="dxa"/>
          <w:right w:w="0" w:type="dxa"/>
        </w:tblCellMar>
      </w:tblPr>
      <w:tblGrid>
        <w:gridCol w:w="4201"/>
        <w:gridCol w:w="346"/>
        <w:gridCol w:w="211"/>
        <w:gridCol w:w="1036"/>
        <w:gridCol w:w="346"/>
        <w:gridCol w:w="241"/>
        <w:gridCol w:w="1305"/>
      </w:tblGrid>
      <w:tr>
        <w:trPr/>
        <w:tc>
          <w:tcPr>
            <w:tcW w:w="4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667635" cy="175260"/>
                      <wp:effectExtent l="0" t="0" r="0" b="0"/>
                      <wp:wrapNone/>
                      <wp:docPr id="330" name="Frame330"/>
                      <a:graphic xmlns:a="http://schemas.openxmlformats.org/drawingml/2006/main">
                        <a:graphicData uri="http://schemas.microsoft.com/office/word/2010/wordprocessingShape">
                          <wps:wsp>
                            <wps:cNvSpPr txBox="1"/>
                            <wps:spPr>
                              <a:xfrm>
                                <a:off x="0" y="0"/>
                                <a:ext cx="2667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19710" cy="175260"/>
                      <wp:effectExtent l="0" t="0" r="0" b="0"/>
                      <wp:wrapNone/>
                      <wp:docPr id="331" name="Frame3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133985" cy="175260"/>
                      <wp:effectExtent l="0" t="0" r="0" b="0"/>
                      <wp:wrapNone/>
                      <wp:docPr id="332" name="Frame3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57860" cy="175260"/>
                      <wp:effectExtent l="0" t="0" r="0" b="0"/>
                      <wp:wrapNone/>
                      <wp:docPr id="333" name="Frame33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19710" cy="175260"/>
                      <wp:effectExtent l="0" t="0" r="0" b="0"/>
                      <wp:wrapNone/>
                      <wp:docPr id="334" name="Frame3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153035" cy="175260"/>
                      <wp:effectExtent l="0" t="0" r="0" b="0"/>
                      <wp:wrapNone/>
                      <wp:docPr id="335" name="Frame335"/>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828675" cy="175260"/>
                      <wp:effectExtent l="0" t="0" r="0" b="0"/>
                      <wp:wrapNone/>
                      <wp:docPr id="336" name="Frame336"/>
                      <a:graphic xmlns:a="http://schemas.openxmlformats.org/drawingml/2006/main">
                        <a:graphicData uri="http://schemas.microsoft.com/office/word/2010/wordprocessingShape">
                          <wps:wsp>
                            <wps:cNvSpPr txBox="1"/>
                            <wps:spPr>
                              <a:xfrm>
                                <a:off x="0" y="0"/>
                                <a:ext cx="8286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1"/>
              <w:ind w:left="0" w:right="0" w:hanging="0"/>
              <w:jc w:val="center"/>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42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1"/>
              <w:ind w:left="0" w:right="0" w:hanging="0"/>
              <w:jc w:val="center"/>
              <w:rPr/>
            </w:pPr>
            <w:r>
              <w:rPr/>
              <w:t>​</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Logistics and Labor Services segment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1,050,553</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1,651,936</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International Trading segment 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5,723,343</w:t>
            </w:r>
          </w:p>
        </w:tc>
        <w:tc>
          <w:tcPr>
            <w:tcW w:w="34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1305" w:type="dxa"/>
            <w:tcBorders/>
            <w:vAlign w:val="center"/>
          </w:tcPr>
          <w:p>
            <w:pPr>
              <w:pStyle w:val="TableContents"/>
              <w:bidi w:val="0"/>
              <w:spacing w:before="0" w:after="1"/>
              <w:ind w:left="0" w:right="0" w:hanging="0"/>
              <w:jc w:val="right"/>
              <w:rPr/>
            </w:pPr>
            <w:r>
              <w:rPr/>
              <w:t>—</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segment operating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6,773,896</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3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1,651,936</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Corporate unallocated 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1305" w:type="dxa"/>
            <w:tcBorders/>
            <w:vAlign w:val="center"/>
          </w:tcPr>
          <w:p>
            <w:pPr>
              <w:pStyle w:val="TableContents"/>
              <w:bidi w:val="0"/>
              <w:spacing w:before="0" w:after="1"/>
              <w:ind w:left="0" w:right="0" w:hanging="0"/>
              <w:jc w:val="right"/>
              <w:rPr/>
            </w:pPr>
            <w:r>
              <w:rPr/>
              <w:t>  ​</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1,880,708</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13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107,236</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Loan receivable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29,951,513</w:t>
            </w:r>
          </w:p>
        </w:tc>
        <w:tc>
          <w:tcPr>
            <w:tcW w:w="34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13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7,430,111</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Receivable from withdrawal of investment deposit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41,110,573</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1305" w:type="dxa"/>
            <w:tcBorders/>
            <w:shd w:fill="CCEEFF" w:val="clear"/>
            <w:vAlign w:val="center"/>
          </w:tcPr>
          <w:p>
            <w:pPr>
              <w:pStyle w:val="TableContents"/>
              <w:bidi w:val="0"/>
              <w:spacing w:before="0" w:after="1"/>
              <w:ind w:left="0" w:right="0" w:hanging="0"/>
              <w:jc w:val="right"/>
              <w:rPr/>
            </w:pPr>
            <w:r>
              <w:rPr/>
              <w:t>—</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corporate current 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2,799,902</w:t>
            </w:r>
          </w:p>
        </w:tc>
        <w:tc>
          <w:tcPr>
            <w:tcW w:w="34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13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2,669,181</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corporate unallocated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75,742,696</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3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10,206,528</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consolidated assets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82,516,592</w:t>
            </w:r>
          </w:p>
        </w:tc>
        <w:tc>
          <w:tcPr>
            <w:tcW w:w="346" w:type="dxa"/>
            <w:tcBorders/>
            <w:vAlign w:val="center"/>
          </w:tcPr>
          <w:p>
            <w:pPr>
              <w:pStyle w:val="TableContents"/>
              <w:bidi w:val="0"/>
              <w:spacing w:before="0" w:after="1"/>
              <w:ind w:left="0" w:right="0" w:hanging="0"/>
              <w:jc w:val="left"/>
              <w:rPr/>
            </w:pPr>
            <w:r>
              <w:rPr/>
              <w:t>​</w:t>
            </w:r>
          </w:p>
        </w:tc>
        <w:tc>
          <w:tcPr>
            <w:tcW w:w="24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05"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11,858,464</w:t>
            </w:r>
          </w:p>
        </w:tc>
      </w:tr>
    </w:tbl>
    <w:p>
      <w:pPr>
        <w:pStyle w:val="TextBody"/>
        <w:pBdr/>
        <w:bidi w:val="0"/>
        <w:spacing w:before="0" w:after="240"/>
        <w:ind w:left="0" w:right="0" w:hanging="36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Segment operating assets primarily include segment-specific accounts receivable, property and equipment, operating lease right-of-use assets, intangible assets and goodwill attributable to each reportable segment.</w:t>
      </w:r>
    </w:p>
    <w:p>
      <w:pPr>
        <w:pStyle w:val="TextBody"/>
        <w:pBdr/>
        <w:bidi w:val="0"/>
        <w:spacing w:before="0" w:after="240"/>
        <w:ind w:left="0" w:right="0" w:hanging="360"/>
        <w:jc w:val="both"/>
        <w:rPr>
          <w:rFonts w:ascii="Times New Roman;Times;serif" w:hAnsi="Times New Roman;Times;serif"/>
          <w:b/>
          <w:i/>
          <w:sz w:val="20"/>
        </w:rPr>
      </w:pPr>
      <w:r>
        <w:rPr>
          <w:rFonts w:ascii="Times New Roman;Times;serif" w:hAnsi="Times New Roman;Times;serif"/>
          <w:b/>
          <w:i/>
          <w:sz w:val="20"/>
        </w:rPr>
        <w:t>Geographic Information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Revenues are disaggregated by geographic region based on the customer’s primary location. Long-lived assets of the Company are substantially all located within the United States.</w:t>
      </w:r>
    </w:p>
    <w:p>
      <w:pPr>
        <w:pStyle w:val="TextBody"/>
        <w:pBdr/>
        <w:bidi w:val="0"/>
        <w:spacing w:before="0" w:after="240"/>
        <w:ind w:left="0" w:right="0" w:hanging="360"/>
        <w:jc w:val="both"/>
        <w:rPr/>
      </w:pPr>
      <w:r>
        <w:rPr/>
        <w:t>​</w:t>
      </w:r>
    </w:p>
    <w:tbl>
      <w:tblPr>
        <w:tblW w:w="7288" w:type="dxa"/>
        <w:jc w:val="left"/>
        <w:tblInd w:w="0" w:type="dxa"/>
        <w:tblLayout w:type="fixed"/>
        <w:tblCellMar>
          <w:top w:w="0" w:type="dxa"/>
          <w:left w:w="0" w:type="dxa"/>
          <w:bottom w:w="0" w:type="dxa"/>
          <w:right w:w="0" w:type="dxa"/>
        </w:tblCellMar>
      </w:tblPr>
      <w:tblGrid>
        <w:gridCol w:w="1831"/>
        <w:gridCol w:w="346"/>
        <w:gridCol w:w="211"/>
        <w:gridCol w:w="781"/>
        <w:gridCol w:w="346"/>
        <w:gridCol w:w="211"/>
        <w:gridCol w:w="781"/>
        <w:gridCol w:w="346"/>
        <w:gridCol w:w="211"/>
        <w:gridCol w:w="781"/>
        <w:gridCol w:w="346"/>
        <w:gridCol w:w="211"/>
        <w:gridCol w:w="886"/>
      </w:tblGrid>
      <w:tr>
        <w:trPr/>
        <w:tc>
          <w:tcPr>
            <w:tcW w:w="1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1162685" cy="175260"/>
                      <wp:effectExtent l="0" t="0" r="0" b="0"/>
                      <wp:wrapNone/>
                      <wp:docPr id="337" name="Frame337"/>
                      <a:graphic xmlns:a="http://schemas.openxmlformats.org/drawingml/2006/main">
                        <a:graphicData uri="http://schemas.microsoft.com/office/word/2010/wordprocessingShape">
                          <wps:wsp>
                            <wps:cNvSpPr txBox="1"/>
                            <wps:spPr>
                              <a:xfrm>
                                <a:off x="0" y="0"/>
                                <a:ext cx="1162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19710" cy="175260"/>
                      <wp:effectExtent l="0" t="0" r="0" b="0"/>
                      <wp:wrapNone/>
                      <wp:docPr id="338" name="Frame3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133985" cy="175260"/>
                      <wp:effectExtent l="0" t="0" r="0" b="0"/>
                      <wp:wrapNone/>
                      <wp:docPr id="339" name="Frame3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495935" cy="175260"/>
                      <wp:effectExtent l="0" t="0" r="0" b="0"/>
                      <wp:wrapNone/>
                      <wp:docPr id="340" name="Frame34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19710" cy="175260"/>
                      <wp:effectExtent l="0" t="0" r="0" b="0"/>
                      <wp:wrapNone/>
                      <wp:docPr id="341" name="Frame3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133985" cy="175260"/>
                      <wp:effectExtent l="0" t="0" r="0" b="0"/>
                      <wp:wrapNone/>
                      <wp:docPr id="342" name="Frame3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495935" cy="175260"/>
                      <wp:effectExtent l="0" t="0" r="0" b="0"/>
                      <wp:wrapNone/>
                      <wp:docPr id="343" name="Frame34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19710" cy="175260"/>
                      <wp:effectExtent l="0" t="0" r="0" b="0"/>
                      <wp:wrapNone/>
                      <wp:docPr id="344" name="Frame3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133985" cy="175260"/>
                      <wp:effectExtent l="0" t="0" r="0" b="0"/>
                      <wp:wrapNone/>
                      <wp:docPr id="345" name="Frame3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495935" cy="175260"/>
                      <wp:effectExtent l="0" t="0" r="0" b="0"/>
                      <wp:wrapNone/>
                      <wp:docPr id="346" name="Frame34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19710" cy="175260"/>
                      <wp:effectExtent l="0" t="0" r="0" b="0"/>
                      <wp:wrapNone/>
                      <wp:docPr id="347" name="Frame3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133985" cy="175260"/>
                      <wp:effectExtent l="0" t="0" r="0" b="0"/>
                      <wp:wrapNone/>
                      <wp:docPr id="348" name="Frame3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562610" cy="175260"/>
                      <wp:effectExtent l="0" t="0" r="0" b="0"/>
                      <wp:wrapNone/>
                      <wp:docPr id="349" name="Frame34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33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46" w:type="dxa"/>
            <w:tcBorders/>
            <w:vAlign w:val="center"/>
          </w:tcPr>
          <w:p>
            <w:pPr>
              <w:pStyle w:val="TableContents"/>
              <w:bidi w:val="0"/>
              <w:spacing w:before="0" w:after="1"/>
              <w:ind w:left="0" w:right="0" w:hanging="0"/>
              <w:jc w:val="center"/>
              <w:rPr/>
            </w:pPr>
            <w:r>
              <w:rPr/>
              <w:t>  ​ ​ ​</w:t>
            </w:r>
          </w:p>
        </w:tc>
        <w:tc>
          <w:tcPr>
            <w:tcW w:w="243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18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3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46" w:type="dxa"/>
            <w:tcBorders/>
            <w:vAlign w:val="center"/>
          </w:tcPr>
          <w:p>
            <w:pPr>
              <w:pStyle w:val="TableContents"/>
              <w:bidi w:val="0"/>
              <w:spacing w:before="0" w:after="1"/>
              <w:ind w:left="0" w:right="0" w:hanging="0"/>
              <w:jc w:val="center"/>
              <w:rPr/>
            </w:pPr>
            <w:r>
              <w:rPr/>
              <w:t>​</w:t>
            </w:r>
          </w:p>
        </w:tc>
        <w:tc>
          <w:tcPr>
            <w:tcW w:w="24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18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8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domestic market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333,591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79,530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798,474</w:t>
            </w:r>
          </w:p>
        </w:tc>
      </w:tr>
      <w:tr>
        <w:trPr/>
        <w:tc>
          <w:tcPr>
            <w:tcW w:w="18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Overseas market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868,909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20,535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882,079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35,451</w:t>
            </w:r>
          </w:p>
        </w:tc>
      </w:tr>
      <w:tr>
        <w:trPr/>
        <w:tc>
          <w:tcPr>
            <w:tcW w:w="18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868,909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354,126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961,609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833,925</w:t>
            </w:r>
          </w:p>
        </w:tc>
      </w:tr>
    </w:tbl>
    <w:p>
      <w:pPr>
        <w:pStyle w:val="TextBody"/>
        <w:pBdr/>
        <w:bidi w:val="0"/>
        <w:spacing w:before="0" w:after="240"/>
        <w:ind w:left="0" w:right="0" w:hanging="360"/>
        <w:jc w:val="both"/>
        <w:rPr/>
      </w:pPr>
      <w:r>
        <w:rPr/>
        <w:t>​</w:t>
      </w:r>
    </w:p>
    <w:p>
      <w:pPr>
        <w:pStyle w:val="TextBody"/>
        <w:pBdr/>
        <w:bidi w:val="0"/>
        <w:spacing w:before="0" w:after="240"/>
        <w:ind w:left="0" w:right="0" w:hanging="360"/>
        <w:jc w:val="both"/>
        <w:rPr>
          <w:rFonts w:ascii="Times New Roman;Times;serif" w:hAnsi="Times New Roman;Times;serif"/>
          <w:b/>
          <w:i/>
          <w:sz w:val="20"/>
        </w:rPr>
      </w:pPr>
      <w:r>
        <w:rPr>
          <w:rFonts w:ascii="Times New Roman;Times;serif" w:hAnsi="Times New Roman;Times;serif"/>
          <w:b/>
          <w:i/>
          <w:sz w:val="20"/>
        </w:rPr>
        <w:t>Major Customers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three months ended June 30, 2026, certain customers of the Company’s international trading segment accounted for substantially all of the segment’s revenues and the Company’s consolidated total revenues. These customers accounted for approximately 100% of the Company’s consolidated total revenues for the three months ended June 30, 2026, substantially exceeding the ten percent threshold for major customer disclosure under ASC 280-10-50-22.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six months ended June 30, 2026, these customers accounted for approximately 90% of the Company’s consolidated total revenues. This concentration also exceeded the ten percent threshold.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the three and six months ended June 30, 2025, no individual customer accounted for ten percent or more of the Company’s consolidated total revenues.</w:t>
      </w:r>
    </w:p>
    <w:p>
      <w:pPr>
        <w:pStyle w:val="TextBody"/>
        <w:pBdr/>
        <w:bidi w:val="0"/>
        <w:spacing w:before="0" w:after="240"/>
        <w:ind w:left="0" w:right="0" w:hanging="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18 — SUBSEQUENT EVENTS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July 2, 2026, the Company entered into a one-year unsecured short-term loan agreement with Asia Finance Investment Limited for a principal amount of $700,000. The loan bears interest at an annual rate of 5.0%. The loan has a </w:t>
      </w:r>
      <w:r>
        <w:rPr>
          <w:rFonts w:ascii="Times New Roman;Times;serif" w:hAnsi="Times New Roman;Times;serif"/>
          <w:b w:val="false"/>
          <w:i w:val="false"/>
          <w:caps w:val="false"/>
          <w:smallCaps w:val="false"/>
          <w:sz w:val="20"/>
        </w:rPr>
        <w:t>12-month</w:t>
      </w:r>
      <w:r>
        <w:rPr>
          <w:rFonts w:ascii="Times New Roman;Times;serif" w:hAnsi="Times New Roman;Times;serif"/>
          <w:sz w:val="20"/>
        </w:rPr>
        <w:t xml:space="preserve"> term and matures on July 1, 2027, with an option to extend for an additional 12 months. All outstanding principal and accrued interest are due in a single lump sum.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August 10, 2026, Naiside and Shanghai Kesheng entered into a First Amendment to the Termination Agreement entered into on June 30, 2026. The First Amendment clarifies the repayment arrangements, overdue interest, default liability and related matters. Pursuant to the First Amendment, Shanghai Kesheng is required to repay the full principal amount of RMB 280,000,000 to Naiside in one lump sum on or before December 30, 2026, without deduction for any handling fee, service fee, management fee or other charge or expense. If the full principal amount is not repaid by December 30, 2026, the outstanding principal will accrue overdue interest commencing on December 31, 2026 at a rate of 5% per annum, calculated on a simple interest basis using the actual number of overdue days.</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val="false"/>
          <w:sz w:val="20"/>
        </w:rPr>
      </w:pPr>
      <w:bookmarkStart w:id="1406" w:name="Item2ManagementsDiscussionandAnalysisofF"/>
      <w:bookmarkStart w:id="1407" w:name="_235e455e_97a6_412f_8d19_f173b88e4c46"/>
      <w:bookmarkEnd w:id="1406"/>
      <w:bookmarkEnd w:id="1407"/>
      <w:r>
        <w:rPr>
          <w:rFonts w:ascii="Times New Roman;Times;serif" w:hAnsi="Times New Roman;Times;serif"/>
          <w:b w:val="false"/>
          <w:sz w:val="20"/>
        </w:rPr>
        <w:t>Item 2. Management’s Discussion and Analysis of Financial Condition and Results of Operations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The following discussion and analysis should be read in conjunction with the consolidated financial statements and the related notes included elsewhere in this quarterly report on Form 10-Q.</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quarterly report on Form 10-Q contains “forward-looking statements.” All statements other than statements of historical fact are “forward-looking statements” for purposes of federal and state securities laws, including, but not limited to: any projections of earnings, revenue, or other financial items; any statements regarding the adequacy, availability, and sources of capital, any statements of the plans, strategies, and objectives of management for future operations; any statements concerning proposed new products, services, or developments; any statements regarding future economic conditions or performance; any statements of belief; and any statements of assumptions underlying any of the foregoing. Forward-looking statements may include the words “may,” “will,” “estimate,” “intend,” “continue,” “believe,” “expect,” “plan,” “project,” or “anticipate,” and other similar words. In addition to any assumptions and other factors and matters referred to specifically in connection with such forward-looking statements, factors that could cause actual results or outcomes to differ materially from those contained in the forward-looking statements include those factors set forth in “Item 1A. Risk Factors” included in our annual report on Form 10-K (File No. 001-41761) (the “Annual Report”), which was filed with the SEC on March 20,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Although we believe that the expectations reflected in our forward-looking statements are reasonable, actual results could differ materially from those projected or assumed. Our future financial condition and results of operations, as well as any forward-looking statements, are subject to change and to inherent risks and uncertainties, such as those disclosed in this quarterly report. We do not intend, and undertake no obligation, to update any forward-looking statement, except as required by law.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information included in this Management’s Discussion and Analysis of Financial Condition and Results of Operations should be read in conjunction with our unaudited condensed consolidated financial statements and the notes included in this quarterly report on Form 10-Q, and the audited consolidated financial statements and notes and Management’s Discussion and Analysis of Financial Condition and Results of Operations contained in the Annual Report.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Business Overview and Recent Developing Trends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engaged in two principal business areas: (i) logistics and warehousing and (ii) international trading. Our logistics and warehousing business includes logistics coordination, warehousing and general labor support services. Following our acquisition of Super International in May 2026, we also commenced the international trading of large-scale industrial equipment. Through Super International, we source, purchase and sell large-scale industrial equipment in international markets and coordinate related procurement, sales and delivery arrangements. Our international trading business operates alongside our logistics and warehousing business and is intended to diversify our business operations and revenue sources.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Historically, our logistics and warehousing business primarily involved services provided in connection with the sale of parallel-import vehicles sourced in the U.S. for sale in the PRC market. More recently, through Edward, we expanded our logistics and warehousing business to include the transportation of other goods between the U.S. and the PRC. Parallel-import vehicles in the PRC refer to automobiles purchased directly from overseas markets and imported for sale outside of the brand manufacturers’ official distribution networks.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Between 2016 and the first half of 2022, the Company experienced growth in sales volume and gross profit due to favorable market conditions. Beginning in the second half of 2023, the business was negatively affected by a decline in customer demand due to weakening macroeconomic conditions, price competition from luxury automakers in the PRC, and a shift in consumer preference toward domestic EVs. These market challenges led to declines in parallel-import vehicle sales of 30.5% in 2023 and 95.7% in 2024, with vehicle sales declining to 14 units in 2024 from 303 units in 2023. In addition, the Company recorded a credit loss of $1.6 million for the year ended December 31, 2024, due to the increasing difficulty in collecting outstanding receivables.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3, 2025, the Company’s board of directors approved the discontinuation of the Company’s parallel-import vehicle business. In accordance with ASC 205-20, Presentation of Financial Statements – Discontinued Operations, all financial results associated with this business have been reclassified as discontinued operations in the accompanying consolidated financial statements for all periods presented. For additional financial details regarding discontinued operations, refer to Note 6 – Discontinued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began its logistics and warehousing business in February 2024 by acquiring Edward to provide services related to international trade between the PRC and the U.S. In July 2024, the Company relocated its headquarters to Irvine, California, to utilize the ports of Los Angeles and Long Beach. The Company further expanded its logistics and warehousing business by acquiring TWEW in December 2024. Following the disposition of Edward in April 2026, the Company continues to conduct its logistics and warehousing business through TWEW. Following the acquisition of Super International in May 2026, the Company also directly engages in international trading of large-scale industrial equipment. Accordingly, the Company currently operates both its logistics and warehousing business and its international trading business.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Additionally, on December 19, 2024, we acquired 100% of the membership interests in NexTrade, a Delaware limited liability company, for consideration of $1. NexTrade holds 100% of the ownership interests in Naiside (Shenzhen) International Trading Co., Ltd. As of the date of this quarterly report, NexTrade itself has not directly conducted any material business operations other than holding its ownership interest in Naiside.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Further, on March 28, 2025, we incorporated a wholly owned subsidiary, Cheetah BVI, in the British Virgin Islands. The incorporation of Cheetah BVI is intended to support our future international business development and facilitate potential global partnerships. As of the date of this quarterly report, Cheetah BVI has not commenced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February 12, 2026, the Company closed the previously disclosed private placement pursuant to certain stock purchase agreements dated January 27, 2026, with certain investors and issued an aggregate of 167,250 shares of Class A Common Stock, after giving retroactive effect to the 2026 Reverse Stock Split, for aggregate gross proceeds of approximately $40.14 million in a private placement pursuant to Regulation S under the Securities Act of 1933, as amended (the “Securities Act”).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February 2, 2026, we effected a change in our state of incorporation from the State of North Carolina to the State of Delaware by filing the applicable Articles of Conversion with the Secretary of State of the State of North Carolina and the Delaware Certificate of Conversion and the Delaware Certificate of Incorporation with the Secretary of State of the State of Delaware.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25, 2026, we entered into a Stock Purchase Agreement with Bing Shao, a non-U.S. individual, and Edward, pursuant to which we agreed to sell, assign, transfer and deliver to Bing Shao 100% of the shares of common stock of Edward for an aggregate purchase price of $20,000. On April 1, 2026, the Company completed the disposition of Edward pursuant to the Stock Purchase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April 16, 2026, we entered into a Share Transfer Agreement with Leyan Yang, a non-U.S. individual, pursuant to which we agreed to acquire 100% of the issued and outstanding shares of Super International, a limited liability company incorporated under the laws of Hong Kong and primarily engaged in the international trading of large-scale industrial equipment, for aggregate cash consideration of $4,980,000. Super International conducts its business through the sourcing, purchase and sale of large-scale industrial equipment in international markets and the coordination of related procurement, sales and delivery arrangements. On May 27, 2026, the Company completed the acquisition pursuant to the Share Transfer Agreement. As a result of the closing, Super International became a wholly owned subsidiary of the Company, and the international trading of large-scale industrial equipment became an additional business line operating alongside the Company’s logistics and warehousing business.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April 2026 Reverse Stock Split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February 3, 2026, our board of directors approved and adopted one or more potential amendments to the Certificate of Incorporation of the Company to effect one or more reverse stock splits of the Company’s issued and outstanding shares of common stock, par value $0.0001 per share, consisting of Class A common stock, par value $0.0001 per share, and Class B common stock, par value $0.0001 per share, at such ratio or ratios as may be determined by the board of directors in its sole discretion, provided that the aggregate ratio of all such reverse stock splits shall not exceed 1-for-500, to be effected at such time or times within 12 months following the approval of the Company’s stockholders.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February 3, 2026, Fairview Eastern International Holdings Limited and Huan Liu, collectively holding shares of Class B common stock representing approximately 79.16% of the voting power of the issued and outstanding capital stock of the Company as of that date, approved and adopted the foregoing corporate action through a written consent in lieu of a special meeting of stockholders. Such stockholder approval became effective on March 10, 2026, 20 calendar days after the Company mailed the definitive information statement on Schedule 14C, which was filed with the SEC on February 13,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Following the approval of our stockholders, on March 23, 2026, our board of directors approved a reverse stock split of the common stock at a ratio of 1-for-200. To implement the reverse stock split, the Company filed a Certificate of Amendment to its Certificate of Incorporation with the Secretary of State of the State of Delaware on March 24, 2026. The Certificate of Amendment became effective at 8:00 a.m., Eastern Time, on April 20, 2026.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Following such reverse stock split, every 200 shares of common stock outstanding were automatically combined into one new share of common stock. No fractional shares were issued in connection with the reverse stock split; any fractional shares resulting from the Reverse Stock Split were rounded up to the nearest whole share. The par value per share of the common stock remained unchanged. Our Class A common stock started trading on a post-split basis on April 29, 2026, at which time the Class A common stock was assigned a new CUSIP number (16307X301). Additionally, at the Effective Time, proportionate adjustments were made to the Company’s Amended and Restated 2024 Stock Incentive Plan based on the Reverse Stock Split Ratio, including adjustments to the number of shares available for awards and the exercise price of outstanding awards.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and Uncertainties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undergoing a transformation of its business model. As a company located in the U.S. and conducting business in the PRC, Hong Kong and other markets, the Company’s business, financial condition, and results of operations may be influenced by political, economic, and legal environments in the U.S., the PRC, Hong Kong and other markets in which it operates, as well as by the general state of the relevant economies. The Company’s results may be adversely affected by changes in political, regulatory, economic, and social conditions in these markets.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Risks and uncertainties related to the Company’s business include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shift from parallel-import vehicle sales to logistics and warehousing services and international trading may depend on factors relating to the business environment, operational management, market expansion and the successful integration and development of the Company’s acquired businesses;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policies relating to ocean freight, international trade, customs and tariffs may reduce market demand for the Company’s logistics, warehousing and international trading businesses, increase the Company’s costs, or otherwise negatively affect the Company’s business and growth prospects;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businesses depend heavily on a limited number of customers and third-party transportation and labor providers;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adverse change in political relations between the PRC and the U.S., including ongoing trade conflicts between the U.S. and the PRC, may negatively affect the Company’s business;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Competition in the logistics, warehousing and international trading industries, based on factors such as service quality, reliability, product availability and pricing, may limit the Company’s ability to expand its revenue, and the Company’s success in these areas will depend on its ability to develop and scale effective sales and operational capabilities. </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business, financial condition, and results of operations may also be negatively impacted by risks related to natural disasters, extreme weather conditions, health epidemics, and other catastrophic incidents, which could significantly disrupt the Company’s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provides a summary of our consolidated results of operations for the three and six months ended June 30, 2026 and 2025, highlighting the financial impact of both continuing and discontinued operations:</w:t>
      </w:r>
    </w:p>
    <w:p>
      <w:pPr>
        <w:pStyle w:val="TextBody"/>
        <w:bidi w:val="0"/>
        <w:spacing w:before="0" w:after="240"/>
        <w:ind w:left="0" w:right="0" w:hanging="0"/>
        <w:jc w:val="both"/>
        <w:rPr/>
      </w:pPr>
      <w:r>
        <w:rPr/>
        <w:t>​</w:t>
      </w:r>
    </w:p>
    <w:tbl>
      <w:tblPr>
        <w:tblW w:w="13397" w:type="dxa"/>
        <w:jc w:val="left"/>
        <w:tblInd w:w="0" w:type="dxa"/>
        <w:tblLayout w:type="fixed"/>
        <w:tblCellMar>
          <w:top w:w="0" w:type="dxa"/>
          <w:left w:w="0" w:type="dxa"/>
          <w:bottom w:w="0" w:type="dxa"/>
          <w:right w:w="0" w:type="dxa"/>
        </w:tblCellMar>
      </w:tblPr>
      <w:tblGrid>
        <w:gridCol w:w="976"/>
        <w:gridCol w:w="346"/>
        <w:gridCol w:w="181"/>
        <w:gridCol w:w="631"/>
        <w:gridCol w:w="346"/>
        <w:gridCol w:w="436"/>
        <w:gridCol w:w="346"/>
        <w:gridCol w:w="181"/>
        <w:gridCol w:w="631"/>
        <w:gridCol w:w="346"/>
        <w:gridCol w:w="481"/>
        <w:gridCol w:w="346"/>
        <w:gridCol w:w="181"/>
        <w:gridCol w:w="631"/>
        <w:gridCol w:w="346"/>
        <w:gridCol w:w="541"/>
        <w:gridCol w:w="346"/>
        <w:gridCol w:w="181"/>
        <w:gridCol w:w="691"/>
        <w:gridCol w:w="346"/>
        <w:gridCol w:w="436"/>
        <w:gridCol w:w="346"/>
        <w:gridCol w:w="181"/>
        <w:gridCol w:w="736"/>
        <w:gridCol w:w="346"/>
        <w:gridCol w:w="481"/>
        <w:gridCol w:w="346"/>
        <w:gridCol w:w="181"/>
        <w:gridCol w:w="631"/>
        <w:gridCol w:w="346"/>
        <w:gridCol w:w="541"/>
        <w:gridCol w:w="316"/>
      </w:tblGrid>
      <w:tr>
        <w:trPr/>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619760" cy="175260"/>
                      <wp:effectExtent l="0" t="0" r="0" b="0"/>
                      <wp:wrapNone/>
                      <wp:docPr id="350" name="Frame350"/>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19710" cy="175260"/>
                      <wp:effectExtent l="0" t="0" r="0" b="0"/>
                      <wp:wrapNone/>
                      <wp:docPr id="351" name="Frame3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114935" cy="175260"/>
                      <wp:effectExtent l="0" t="0" r="0" b="0"/>
                      <wp:wrapNone/>
                      <wp:docPr id="352" name="Frame35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400685" cy="175260"/>
                      <wp:effectExtent l="0" t="0" r="0" b="0"/>
                      <wp:wrapNone/>
                      <wp:docPr id="353" name="Frame353"/>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19710" cy="175260"/>
                      <wp:effectExtent l="0" t="0" r="0" b="0"/>
                      <wp:wrapNone/>
                      <wp:docPr id="354" name="Frame3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76860" cy="175260"/>
                      <wp:effectExtent l="0" t="0" r="0" b="0"/>
                      <wp:wrapNone/>
                      <wp:docPr id="355" name="Frame355"/>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19710" cy="175260"/>
                      <wp:effectExtent l="0" t="0" r="0" b="0"/>
                      <wp:wrapNone/>
                      <wp:docPr id="356" name="Frame3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114935" cy="175260"/>
                      <wp:effectExtent l="0" t="0" r="0" b="0"/>
                      <wp:wrapNone/>
                      <wp:docPr id="357" name="Frame35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400685" cy="175260"/>
                      <wp:effectExtent l="0" t="0" r="0" b="0"/>
                      <wp:wrapNone/>
                      <wp:docPr id="358" name="Frame358"/>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19710" cy="175260"/>
                      <wp:effectExtent l="0" t="0" r="0" b="0"/>
                      <wp:wrapNone/>
                      <wp:docPr id="359" name="Frame3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305435" cy="175260"/>
                      <wp:effectExtent l="0" t="0" r="0" b="0"/>
                      <wp:wrapNone/>
                      <wp:docPr id="360" name="Frame360"/>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19710" cy="175260"/>
                      <wp:effectExtent l="0" t="0" r="0" b="0"/>
                      <wp:wrapNone/>
                      <wp:docPr id="361" name="Frame3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114935" cy="175260"/>
                      <wp:effectExtent l="0" t="0" r="0" b="0"/>
                      <wp:wrapNone/>
                      <wp:docPr id="362" name="Frame36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400685" cy="175260"/>
                      <wp:effectExtent l="0" t="0" r="0" b="0"/>
                      <wp:wrapNone/>
                      <wp:docPr id="363" name="Frame363"/>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19710" cy="175260"/>
                      <wp:effectExtent l="0" t="0" r="0" b="0"/>
                      <wp:wrapNone/>
                      <wp:docPr id="364" name="Frame3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343535" cy="175260"/>
                      <wp:effectExtent l="0" t="0" r="0" b="0"/>
                      <wp:wrapNone/>
                      <wp:docPr id="365" name="Frame365"/>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219710" cy="175260"/>
                      <wp:effectExtent l="0" t="0" r="0" b="0"/>
                      <wp:wrapNone/>
                      <wp:docPr id="366" name="Frame3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114935" cy="175260"/>
                      <wp:effectExtent l="0" t="0" r="0" b="0"/>
                      <wp:wrapNone/>
                      <wp:docPr id="367" name="Frame36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438785" cy="175260"/>
                      <wp:effectExtent l="0" t="0" r="0" b="0"/>
                      <wp:wrapNone/>
                      <wp:docPr id="368" name="Frame36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19710" cy="175260"/>
                      <wp:effectExtent l="0" t="0" r="0" b="0"/>
                      <wp:wrapNone/>
                      <wp:docPr id="369" name="Frame3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76860" cy="175260"/>
                      <wp:effectExtent l="0" t="0" r="0" b="0"/>
                      <wp:wrapNone/>
                      <wp:docPr id="370" name="Frame370"/>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19710" cy="175260"/>
                      <wp:effectExtent l="0" t="0" r="0" b="0"/>
                      <wp:wrapNone/>
                      <wp:docPr id="371" name="Frame3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114935" cy="175260"/>
                      <wp:effectExtent l="0" t="0" r="0" b="0"/>
                      <wp:wrapNone/>
                      <wp:docPr id="372" name="Frame37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467360" cy="175260"/>
                      <wp:effectExtent l="0" t="0" r="0" b="0"/>
                      <wp:wrapNone/>
                      <wp:docPr id="373" name="Frame373"/>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19710" cy="175260"/>
                      <wp:effectExtent l="0" t="0" r="0" b="0"/>
                      <wp:wrapNone/>
                      <wp:docPr id="374" name="Frame3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305435" cy="175260"/>
                      <wp:effectExtent l="0" t="0" r="0" b="0"/>
                      <wp:wrapNone/>
                      <wp:docPr id="375" name="Frame375"/>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19710" cy="175260"/>
                      <wp:effectExtent l="0" t="0" r="0" b="0"/>
                      <wp:wrapNone/>
                      <wp:docPr id="376" name="Frame3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114935" cy="175260"/>
                      <wp:effectExtent l="0" t="0" r="0" b="0"/>
                      <wp:wrapNone/>
                      <wp:docPr id="377" name="Frame37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400685" cy="175260"/>
                      <wp:effectExtent l="0" t="0" r="0" b="0"/>
                      <wp:wrapNone/>
                      <wp:docPr id="378" name="Frame378"/>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219710" cy="175260"/>
                      <wp:effectExtent l="0" t="0" r="0" b="0"/>
                      <wp:wrapNone/>
                      <wp:docPr id="379" name="Frame3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343535" cy="175260"/>
                      <wp:effectExtent l="0" t="0" r="0" b="0"/>
                      <wp:wrapNone/>
                      <wp:docPr id="380" name="Frame380"/>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00660" cy="175260"/>
                      <wp:effectExtent l="0" t="0" r="0" b="0"/>
                      <wp:wrapNone/>
                      <wp:docPr id="381" name="Frame38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579"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Three Months Ended June 30, </w:t>
            </w:r>
          </w:p>
        </w:tc>
        <w:tc>
          <w:tcPr>
            <w:tcW w:w="346" w:type="dxa"/>
            <w:tcBorders/>
            <w:vAlign w:val="center"/>
          </w:tcPr>
          <w:p>
            <w:pPr>
              <w:pStyle w:val="TableContents"/>
              <w:bidi w:val="0"/>
              <w:spacing w:before="0" w:after="0"/>
              <w:ind w:left="0" w:right="0" w:hanging="0"/>
              <w:jc w:val="center"/>
              <w:rPr/>
            </w:pPr>
            <w:r>
              <w:rPr/>
              <w:t>  ​ ​ ​</w:t>
            </w:r>
          </w:p>
        </w:tc>
        <w:tc>
          <w:tcPr>
            <w:tcW w:w="169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Change</w:t>
            </w:r>
          </w:p>
        </w:tc>
        <w:tc>
          <w:tcPr>
            <w:tcW w:w="346" w:type="dxa"/>
            <w:tcBorders/>
            <w:vAlign w:val="center"/>
          </w:tcPr>
          <w:p>
            <w:pPr>
              <w:pStyle w:val="TableContents"/>
              <w:bidi w:val="0"/>
              <w:spacing w:before="0" w:after="0"/>
              <w:ind w:left="0" w:right="0" w:hanging="0"/>
              <w:jc w:val="center"/>
              <w:rPr/>
            </w:pPr>
            <w:r>
              <w:rPr/>
              <w:t>  ​ ​ ​</w:t>
            </w:r>
          </w:p>
        </w:tc>
        <w:tc>
          <w:tcPr>
            <w:tcW w:w="3744"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Six Months Ended June 30, </w:t>
            </w:r>
          </w:p>
        </w:tc>
        <w:tc>
          <w:tcPr>
            <w:tcW w:w="346" w:type="dxa"/>
            <w:tcBorders/>
            <w:vAlign w:val="center"/>
          </w:tcPr>
          <w:p>
            <w:pPr>
              <w:pStyle w:val="TableContents"/>
              <w:bidi w:val="0"/>
              <w:spacing w:before="0" w:after="0"/>
              <w:ind w:left="0" w:right="0" w:hanging="0"/>
              <w:jc w:val="center"/>
              <w:rPr/>
            </w:pPr>
            <w:r>
              <w:rPr/>
              <w:t>  ​ ​ ​</w:t>
            </w:r>
          </w:p>
        </w:tc>
        <w:tc>
          <w:tcPr>
            <w:tcW w:w="169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Change</w:t>
            </w:r>
          </w:p>
        </w:tc>
        <w:tc>
          <w:tcPr>
            <w:tcW w:w="316" w:type="dxa"/>
            <w:tcBorders/>
            <w:vAlign w:val="center"/>
          </w:tcPr>
          <w:p>
            <w:pPr>
              <w:pStyle w:val="TableContents"/>
              <w:bidi w:val="0"/>
              <w:spacing w:before="0" w:after="0"/>
              <w:ind w:left="0" w:right="0" w:hanging="0"/>
              <w:jc w:val="center"/>
              <w:rPr/>
            </w:pPr>
            <w:r>
              <w:rPr/>
              <w:t> </w:t>
            </w:r>
          </w:p>
        </w:tc>
      </w:tr>
      <w:tr>
        <w:trPr/>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59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2026</w:t>
            </w:r>
          </w:p>
        </w:tc>
        <w:tc>
          <w:tcPr>
            <w:tcW w:w="346" w:type="dxa"/>
            <w:tcBorders/>
            <w:vAlign w:val="center"/>
          </w:tcPr>
          <w:p>
            <w:pPr>
              <w:pStyle w:val="TableContents"/>
              <w:bidi w:val="0"/>
              <w:spacing w:before="0" w:after="0"/>
              <w:ind w:left="0" w:right="0" w:hanging="0"/>
              <w:jc w:val="left"/>
              <w:rPr/>
            </w:pPr>
            <w:r>
              <w:rPr/>
              <w:t>  ​ ​ ​</w:t>
            </w:r>
          </w:p>
        </w:tc>
        <w:tc>
          <w:tcPr>
            <w:tcW w:w="163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2025</w:t>
            </w:r>
          </w:p>
        </w:tc>
        <w:tc>
          <w:tcPr>
            <w:tcW w:w="346" w:type="dxa"/>
            <w:tcBorders/>
            <w:vAlign w:val="center"/>
          </w:tcPr>
          <w:p>
            <w:pPr>
              <w:pStyle w:val="TableContents"/>
              <w:bidi w:val="0"/>
              <w:spacing w:before="0" w:after="0"/>
              <w:ind w:left="0" w:right="0" w:hanging="0"/>
              <w:jc w:val="center"/>
              <w:rPr/>
            </w:pPr>
            <w:r>
              <w:rPr/>
              <w:t>  ​ ​ ​</w:t>
            </w:r>
          </w:p>
        </w:tc>
        <w:tc>
          <w:tcPr>
            <w:tcW w:w="8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0"/>
              <w:ind w:left="0" w:right="0" w:hanging="0"/>
              <w:jc w:val="center"/>
              <w:rPr/>
            </w:pPr>
            <w:r>
              <w:rPr/>
              <w:t>  ​ ​ ​</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w:t>
            </w:r>
          </w:p>
        </w:tc>
        <w:tc>
          <w:tcPr>
            <w:tcW w:w="346" w:type="dxa"/>
            <w:tcBorders/>
            <w:vAlign w:val="center"/>
          </w:tcPr>
          <w:p>
            <w:pPr>
              <w:pStyle w:val="TableContents"/>
              <w:bidi w:val="0"/>
              <w:spacing w:before="0" w:after="0"/>
              <w:ind w:left="0" w:right="0" w:hanging="0"/>
              <w:jc w:val="center"/>
              <w:rPr/>
            </w:pPr>
            <w:r>
              <w:rPr/>
              <w:t>  ​ ​ ​</w:t>
            </w:r>
          </w:p>
        </w:tc>
        <w:tc>
          <w:tcPr>
            <w:tcW w:w="165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2026</w:t>
            </w:r>
          </w:p>
        </w:tc>
        <w:tc>
          <w:tcPr>
            <w:tcW w:w="346" w:type="dxa"/>
            <w:tcBorders/>
            <w:vAlign w:val="center"/>
          </w:tcPr>
          <w:p>
            <w:pPr>
              <w:pStyle w:val="TableContents"/>
              <w:bidi w:val="0"/>
              <w:spacing w:before="0" w:after="0"/>
              <w:ind w:left="0" w:right="0" w:hanging="0"/>
              <w:jc w:val="left"/>
              <w:rPr/>
            </w:pPr>
            <w:r>
              <w:rPr/>
              <w:t>  ​ ​ ​</w:t>
            </w:r>
          </w:p>
        </w:tc>
        <w:tc>
          <w:tcPr>
            <w:tcW w:w="174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2025</w:t>
            </w:r>
          </w:p>
        </w:tc>
        <w:tc>
          <w:tcPr>
            <w:tcW w:w="346" w:type="dxa"/>
            <w:tcBorders/>
            <w:vAlign w:val="center"/>
          </w:tcPr>
          <w:p>
            <w:pPr>
              <w:pStyle w:val="TableContents"/>
              <w:bidi w:val="0"/>
              <w:spacing w:before="0" w:after="0"/>
              <w:ind w:left="0" w:right="0" w:hanging="0"/>
              <w:jc w:val="center"/>
              <w:rPr/>
            </w:pPr>
            <w:r>
              <w:rPr/>
              <w:t>  ​ ​ ​</w:t>
            </w:r>
          </w:p>
        </w:tc>
        <w:tc>
          <w:tcPr>
            <w:tcW w:w="8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0"/>
              <w:ind w:left="0" w:right="0" w:hanging="0"/>
              <w:jc w:val="center"/>
              <w:rPr/>
            </w:pPr>
            <w:r>
              <w:rPr/>
              <w:t>  ​ ​ ​</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w:t>
            </w:r>
          </w:p>
        </w:tc>
        <w:tc>
          <w:tcPr>
            <w:tcW w:w="316" w:type="dxa"/>
            <w:tcBorders/>
            <w:vAlign w:val="center"/>
          </w:tcPr>
          <w:p>
            <w:pPr>
              <w:pStyle w:val="TableContents"/>
              <w:bidi w:val="0"/>
              <w:spacing w:before="0" w:after="0"/>
              <w:ind w:left="0" w:right="0" w:hanging="0"/>
              <w:jc w:val="center"/>
              <w:rPr/>
            </w:pPr>
            <w:r>
              <w:rPr/>
              <w:t> </w:t>
            </w:r>
          </w:p>
        </w:tc>
      </w:tr>
      <w:tr>
        <w:trPr/>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USD</w:t>
            </w:r>
          </w:p>
        </w:tc>
        <w:tc>
          <w:tcPr>
            <w:tcW w:w="346" w:type="dxa"/>
            <w:tcBorders/>
            <w:vAlign w:val="center"/>
          </w:tcPr>
          <w:p>
            <w:pPr>
              <w:pStyle w:val="TableContents"/>
              <w:bidi w:val="0"/>
              <w:spacing w:before="0" w:after="0"/>
              <w:ind w:left="0" w:right="0" w:hanging="0"/>
              <w:jc w:val="center"/>
              <w:rPr/>
            </w:pPr>
            <w:r>
              <w:rPr/>
              <w:t>  ​ ​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0"/>
              <w:ind w:left="0" w:right="0" w:hanging="0"/>
              <w:jc w:val="center"/>
              <w:rPr/>
            </w:pPr>
            <w:r>
              <w:rPr/>
              <w:t>  ​ ​ ​</w:t>
            </w:r>
          </w:p>
        </w:tc>
        <w:tc>
          <w:tcPr>
            <w:tcW w:w="8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USD</w:t>
            </w:r>
          </w:p>
        </w:tc>
        <w:tc>
          <w:tcPr>
            <w:tcW w:w="346" w:type="dxa"/>
            <w:tcBorders/>
            <w:vAlign w:val="center"/>
          </w:tcPr>
          <w:p>
            <w:pPr>
              <w:pStyle w:val="TableContents"/>
              <w:bidi w:val="0"/>
              <w:spacing w:before="0" w:after="0"/>
              <w:ind w:left="0" w:right="0" w:hanging="0"/>
              <w:jc w:val="center"/>
              <w:rPr/>
            </w:pPr>
            <w:r>
              <w:rPr/>
              <w:t>  ​ ​ ​</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0"/>
              <w:ind w:left="0" w:right="0" w:hanging="0"/>
              <w:jc w:val="center"/>
              <w:rPr/>
            </w:pPr>
            <w:r>
              <w:rPr/>
              <w:t>  ​ ​ ​</w:t>
            </w:r>
          </w:p>
        </w:tc>
        <w:tc>
          <w:tcPr>
            <w:tcW w:w="181"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5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USD</w:t>
            </w:r>
          </w:p>
        </w:tc>
        <w:tc>
          <w:tcPr>
            <w:tcW w:w="346" w:type="dxa"/>
            <w:tcBorders/>
            <w:vAlign w:val="center"/>
          </w:tcPr>
          <w:p>
            <w:pPr>
              <w:pStyle w:val="TableContents"/>
              <w:bidi w:val="0"/>
              <w:spacing w:before="0" w:after="0"/>
              <w:ind w:left="0" w:right="0" w:hanging="0"/>
              <w:jc w:val="center"/>
              <w:rPr/>
            </w:pPr>
            <w:r>
              <w:rPr/>
              <w:t>  ​ ​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0"/>
              <w:ind w:left="0" w:right="0" w:hanging="0"/>
              <w:jc w:val="center"/>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USD</w:t>
            </w:r>
          </w:p>
        </w:tc>
        <w:tc>
          <w:tcPr>
            <w:tcW w:w="346" w:type="dxa"/>
            <w:tcBorders/>
            <w:vAlign w:val="center"/>
          </w:tcPr>
          <w:p>
            <w:pPr>
              <w:pStyle w:val="TableContents"/>
              <w:bidi w:val="0"/>
              <w:spacing w:before="0" w:after="0"/>
              <w:ind w:left="0" w:right="0" w:hanging="0"/>
              <w:jc w:val="center"/>
              <w:rPr/>
            </w:pPr>
            <w:r>
              <w:rPr/>
              <w:t>  ​ ​ ​</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0"/>
              <w:ind w:left="0" w:right="0" w:hanging="0"/>
              <w:jc w:val="center"/>
              <w:rPr/>
            </w:pPr>
            <w:r>
              <w:rPr/>
              <w:t>  ​ ​ ​</w:t>
            </w:r>
          </w:p>
        </w:tc>
        <w:tc>
          <w:tcPr>
            <w:tcW w:w="181"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541"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 </w:t>
            </w:r>
          </w:p>
        </w:tc>
      </w:tr>
      <w:tr>
        <w:trPr/>
        <w:tc>
          <w:tcPr>
            <w:tcW w:w="97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Revenues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868,909</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354,126</w:t>
            </w:r>
          </w:p>
        </w:tc>
        <w:tc>
          <w:tcPr>
            <w:tcW w:w="346"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514,783</w:t>
            </w:r>
          </w:p>
        </w:tc>
        <w:tc>
          <w:tcPr>
            <w:tcW w:w="34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145.4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961,609</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833,925</w:t>
            </w:r>
          </w:p>
        </w:tc>
        <w:tc>
          <w:tcPr>
            <w:tcW w:w="346"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127,684</w:t>
            </w:r>
          </w:p>
        </w:tc>
        <w:tc>
          <w:tcPr>
            <w:tcW w:w="34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97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Cost of Revenues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849,409</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97.8</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 </w:t>
            </w:r>
          </w:p>
        </w:tc>
        <w:tc>
          <w:tcPr>
            <w:tcW w:w="18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319,226</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90.1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530,183</w:t>
            </w:r>
          </w:p>
        </w:tc>
        <w:tc>
          <w:tcPr>
            <w:tcW w:w="34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166.1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922,242</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95.9</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742,769</w:t>
            </w:r>
          </w:p>
        </w:tc>
        <w:tc>
          <w:tcPr>
            <w:tcW w:w="34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89.1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179,473</w:t>
            </w:r>
          </w:p>
        </w:tc>
        <w:tc>
          <w:tcPr>
            <w:tcW w:w="34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9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19,500</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 </w:t>
            </w:r>
          </w:p>
        </w:tc>
        <w:tc>
          <w:tcPr>
            <w:tcW w:w="18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34,900</w:t>
            </w:r>
          </w:p>
        </w:tc>
        <w:tc>
          <w:tcPr>
            <w:tcW w:w="346"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9.9</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(15,400)</w:t>
            </w:r>
          </w:p>
        </w:tc>
        <w:tc>
          <w:tcPr>
            <w:tcW w:w="34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39,367</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91,156</w:t>
            </w:r>
          </w:p>
        </w:tc>
        <w:tc>
          <w:tcPr>
            <w:tcW w:w="346"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10.9</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(51,789)</w:t>
            </w:r>
          </w:p>
        </w:tc>
        <w:tc>
          <w:tcPr>
            <w:tcW w:w="34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r>
      <w:tr>
        <w:trPr/>
        <w:tc>
          <w:tcPr>
            <w:tcW w:w="97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General and administration expenses</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887,115</w:t>
            </w:r>
          </w:p>
        </w:tc>
        <w:tc>
          <w:tcPr>
            <w:tcW w:w="346" w:type="dxa"/>
            <w:tcBorders/>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102.1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805,305</w:t>
            </w:r>
          </w:p>
        </w:tc>
        <w:tc>
          <w:tcPr>
            <w:tcW w:w="346" w:type="dxa"/>
            <w:tcBorders/>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227.4</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81,810</w:t>
            </w:r>
          </w:p>
        </w:tc>
        <w:tc>
          <w:tcPr>
            <w:tcW w:w="346" w:type="dxa"/>
            <w:tcBorders/>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10.2</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1,657,119</w:t>
            </w:r>
          </w:p>
        </w:tc>
        <w:tc>
          <w:tcPr>
            <w:tcW w:w="346" w:type="dxa"/>
            <w:tcBorders/>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172.3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1,805,824</w:t>
            </w:r>
          </w:p>
        </w:tc>
        <w:tc>
          <w:tcPr>
            <w:tcW w:w="346" w:type="dxa"/>
            <w:tcBorders/>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216.5</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(148,705)</w:t>
            </w:r>
          </w:p>
        </w:tc>
        <w:tc>
          <w:tcPr>
            <w:tcW w:w="346" w:type="dxa"/>
            <w:tcBorders/>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9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Share-based compensation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14,182</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10,444</w:t>
            </w:r>
          </w:p>
        </w:tc>
        <w:tc>
          <w:tcPr>
            <w:tcW w:w="346" w:type="dxa"/>
            <w:tcBorders/>
            <w:shd w:fill="CCEEFF" w:val="clear"/>
            <w:vAlign w:val="center"/>
          </w:tcPr>
          <w:p>
            <w:pPr>
              <w:pStyle w:val="TableContents"/>
              <w:bidi w:val="0"/>
              <w:spacing w:before="0" w:after="0"/>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3,738</w:t>
            </w:r>
          </w:p>
        </w:tc>
        <w:tc>
          <w:tcPr>
            <w:tcW w:w="346" w:type="dxa"/>
            <w:tcBorders/>
            <w:shd w:fill="CCEEFF" w:val="clear"/>
            <w:vAlign w:val="center"/>
          </w:tcPr>
          <w:p>
            <w:pPr>
              <w:pStyle w:val="TableContents"/>
              <w:bidi w:val="0"/>
              <w:spacing w:before="0" w:after="0"/>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35.8</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28,364</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26,629</w:t>
            </w:r>
          </w:p>
        </w:tc>
        <w:tc>
          <w:tcPr>
            <w:tcW w:w="346" w:type="dxa"/>
            <w:tcBorders/>
            <w:shd w:fill="CCEEFF" w:val="clear"/>
            <w:vAlign w:val="center"/>
          </w:tcPr>
          <w:p>
            <w:pPr>
              <w:pStyle w:val="TableContents"/>
              <w:bidi w:val="0"/>
              <w:spacing w:before="0" w:after="0"/>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1,735</w:t>
            </w:r>
          </w:p>
        </w:tc>
        <w:tc>
          <w:tcPr>
            <w:tcW w:w="346" w:type="dxa"/>
            <w:tcBorders/>
            <w:shd w:fill="CCEEFF" w:val="clear"/>
            <w:vAlign w:val="center"/>
          </w:tcPr>
          <w:p>
            <w:pPr>
              <w:pStyle w:val="TableContents"/>
              <w:bidi w:val="0"/>
              <w:spacing w:before="0" w:after="0"/>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97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Interest income, net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257,896</w:t>
            </w:r>
          </w:p>
        </w:tc>
        <w:tc>
          <w:tcPr>
            <w:tcW w:w="346" w:type="dxa"/>
            <w:tcBorders/>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29.7</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264,168</w:t>
            </w:r>
          </w:p>
        </w:tc>
        <w:tc>
          <w:tcPr>
            <w:tcW w:w="346" w:type="dxa"/>
            <w:tcBorders/>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74.6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(6,272)</w:t>
            </w:r>
          </w:p>
        </w:tc>
        <w:tc>
          <w:tcPr>
            <w:tcW w:w="346" w:type="dxa"/>
            <w:tcBorders/>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401,338</w:t>
            </w:r>
          </w:p>
        </w:tc>
        <w:tc>
          <w:tcPr>
            <w:tcW w:w="346" w:type="dxa"/>
            <w:tcBorders/>
            <w:vAlign w:val="center"/>
          </w:tcPr>
          <w:p>
            <w:pPr>
              <w:pStyle w:val="TableContents"/>
              <w:bidi w:val="0"/>
              <w:spacing w:before="0" w:after="0"/>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41.7</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463,446</w:t>
            </w:r>
          </w:p>
        </w:tc>
        <w:tc>
          <w:tcPr>
            <w:tcW w:w="346" w:type="dxa"/>
            <w:tcBorders/>
            <w:vAlign w:val="center"/>
          </w:tcPr>
          <w:p>
            <w:pPr>
              <w:pStyle w:val="TableContents"/>
              <w:bidi w:val="0"/>
              <w:spacing w:before="0" w:after="0"/>
              <w:ind w:left="0" w:right="0" w:hanging="0"/>
              <w:jc w:val="left"/>
              <w:rPr/>
            </w:pPr>
            <w:r>
              <w:rPr/>
              <w:t> </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(62,108)</w:t>
            </w:r>
          </w:p>
        </w:tc>
        <w:tc>
          <w:tcPr>
            <w:tcW w:w="346" w:type="dxa"/>
            <w:tcBorders/>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(13.4)</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9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income, net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993,766</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114.4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17,140</w:t>
            </w:r>
          </w:p>
        </w:tc>
        <w:tc>
          <w:tcPr>
            <w:tcW w:w="346" w:type="dxa"/>
            <w:tcBorders/>
            <w:shd w:fill="CCEEFF" w:val="clear"/>
            <w:vAlign w:val="center"/>
          </w:tcPr>
          <w:p>
            <w:pPr>
              <w:pStyle w:val="TableContents"/>
              <w:bidi w:val="0"/>
              <w:spacing w:before="0" w:after="0"/>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976,626</w:t>
            </w:r>
          </w:p>
        </w:tc>
        <w:tc>
          <w:tcPr>
            <w:tcW w:w="346" w:type="dxa"/>
            <w:tcBorders/>
            <w:shd w:fill="CCEEFF" w:val="clear"/>
            <w:vAlign w:val="center"/>
          </w:tcPr>
          <w:p>
            <w:pPr>
              <w:pStyle w:val="TableContents"/>
              <w:bidi w:val="0"/>
              <w:spacing w:before="0" w:after="0"/>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5,697.9</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1,002,778</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104.3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29,756</w:t>
            </w:r>
          </w:p>
        </w:tc>
        <w:tc>
          <w:tcPr>
            <w:tcW w:w="346" w:type="dxa"/>
            <w:tcBorders/>
            <w:shd w:fill="CCEEFF" w:val="clear"/>
            <w:vAlign w:val="center"/>
          </w:tcPr>
          <w:p>
            <w:pPr>
              <w:pStyle w:val="TableContents"/>
              <w:bidi w:val="0"/>
              <w:spacing w:before="0" w:after="0"/>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973,022</w:t>
            </w:r>
          </w:p>
        </w:tc>
        <w:tc>
          <w:tcPr>
            <w:tcW w:w="346" w:type="dxa"/>
            <w:tcBorders/>
            <w:shd w:fill="CCEEFF" w:val="clear"/>
            <w:vAlign w:val="center"/>
          </w:tcPr>
          <w:p>
            <w:pPr>
              <w:pStyle w:val="TableContents"/>
              <w:bidi w:val="0"/>
              <w:spacing w:before="0" w:after="0"/>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3,270.0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97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Gain(loss) on disposal of Edward</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(297,610)</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(297,610)</w:t>
            </w:r>
          </w:p>
        </w:tc>
        <w:tc>
          <w:tcPr>
            <w:tcW w:w="34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(297,610)</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(30.9)</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(297,610)</w:t>
            </w:r>
          </w:p>
        </w:tc>
        <w:tc>
          <w:tcPr>
            <w:tcW w:w="34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9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(Loss) from continuing operations before tax provision</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72,255</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(499,541)</w:t>
            </w:r>
          </w:p>
        </w:tc>
        <w:tc>
          <w:tcPr>
            <w:tcW w:w="346"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(141.1)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571,796</w:t>
            </w:r>
          </w:p>
        </w:tc>
        <w:tc>
          <w:tcPr>
            <w:tcW w:w="34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(114.5)</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(539,610)</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(1,248,095)</w:t>
            </w:r>
          </w:p>
        </w:tc>
        <w:tc>
          <w:tcPr>
            <w:tcW w:w="346"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(149.7)</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708,485</w:t>
            </w:r>
          </w:p>
        </w:tc>
        <w:tc>
          <w:tcPr>
            <w:tcW w:w="34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97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Income tax (benefits)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1,210</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12,987</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(11,777)</w:t>
            </w:r>
          </w:p>
        </w:tc>
        <w:tc>
          <w:tcPr>
            <w:tcW w:w="34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(90.7)</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5,610</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18,342</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(12,732)</w:t>
            </w:r>
          </w:p>
        </w:tc>
        <w:tc>
          <w:tcPr>
            <w:tcW w:w="34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(69.4)</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r>
      <w:tr>
        <w:trPr/>
        <w:tc>
          <w:tcPr>
            <w:tcW w:w="9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Loss from continuing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71,045</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8.2</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(512,528)</w:t>
            </w:r>
          </w:p>
        </w:tc>
        <w:tc>
          <w:tcPr>
            <w:tcW w:w="346"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(144.7)</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583,573</w:t>
            </w:r>
          </w:p>
        </w:tc>
        <w:tc>
          <w:tcPr>
            <w:tcW w:w="34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(113.9)</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(545,220)</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(56.6)</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(1,266,437)</w:t>
            </w:r>
          </w:p>
        </w:tc>
        <w:tc>
          <w:tcPr>
            <w:tcW w:w="346"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(151.9)</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721,217</w:t>
            </w:r>
          </w:p>
        </w:tc>
        <w:tc>
          <w:tcPr>
            <w:tcW w:w="34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97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Loss from discontinued operations, net of tax</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9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71,045</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8.2</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(512,528)</w:t>
            </w:r>
          </w:p>
        </w:tc>
        <w:tc>
          <w:tcPr>
            <w:tcW w:w="346" w:type="dxa"/>
            <w:tcBorders/>
            <w:shd w:fill="CCEEFF" w:val="clear"/>
            <w:vAlign w:val="center"/>
          </w:tcPr>
          <w:p>
            <w:pPr>
              <w:pStyle w:val="TableContents"/>
              <w:bidi w:val="0"/>
              <w:spacing w:before="0" w:after="0"/>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(144.7)</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583,573</w:t>
            </w:r>
          </w:p>
        </w:tc>
        <w:tc>
          <w:tcPr>
            <w:tcW w:w="346" w:type="dxa"/>
            <w:tcBorders/>
            <w:shd w:fill="CCEEFF" w:val="clear"/>
            <w:vAlign w:val="center"/>
          </w:tcPr>
          <w:p>
            <w:pPr>
              <w:pStyle w:val="TableContents"/>
              <w:bidi w:val="0"/>
              <w:spacing w:before="0" w:after="0"/>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(113.9)</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(545,220)</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(56.6)</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(1,266,437)</w:t>
            </w:r>
          </w:p>
        </w:tc>
        <w:tc>
          <w:tcPr>
            <w:tcW w:w="346" w:type="dxa"/>
            <w:tcBorders/>
            <w:shd w:fill="CCEEFF" w:val="clear"/>
            <w:vAlign w:val="center"/>
          </w:tcPr>
          <w:p>
            <w:pPr>
              <w:pStyle w:val="TableContents"/>
              <w:bidi w:val="0"/>
              <w:spacing w:before="0" w:after="0"/>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(151.9)</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721,217</w:t>
            </w:r>
          </w:p>
        </w:tc>
        <w:tc>
          <w:tcPr>
            <w:tcW w:w="346" w:type="dxa"/>
            <w:tcBorders/>
            <w:shd w:fill="CCEEFF" w:val="clear"/>
            <w:vAlign w:val="center"/>
          </w:tcPr>
          <w:p>
            <w:pPr>
              <w:pStyle w:val="TableContents"/>
              <w:bidi w:val="0"/>
              <w:spacing w:before="0" w:after="0"/>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bl>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Comparison of the Three Months Ended June 30, 2026 and 2025</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Continuing Operations-Logistics and Warehousing Services</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Revenues</w:t>
      </w:r>
    </w:p>
    <w:p>
      <w:pPr>
        <w:pStyle w:val="TextBody"/>
        <w:bidi w:val="0"/>
        <w:spacing w:before="0" w:after="0"/>
        <w:ind w:left="0" w:right="0" w:hanging="0"/>
        <w:jc w:val="left"/>
        <w:rPr/>
      </w:pPr>
      <w:r>
        <w:rPr/>
        <w:t>​</w:t>
      </w:r>
    </w:p>
    <w:tbl>
      <w:tblPr>
        <w:tblW w:w="8687" w:type="dxa"/>
        <w:jc w:val="left"/>
        <w:tblInd w:w="0" w:type="dxa"/>
        <w:tblLayout w:type="fixed"/>
        <w:tblCellMar>
          <w:top w:w="0" w:type="dxa"/>
          <w:left w:w="0" w:type="dxa"/>
          <w:bottom w:w="0" w:type="dxa"/>
          <w:right w:w="0" w:type="dxa"/>
        </w:tblCellMar>
      </w:tblPr>
      <w:tblGrid>
        <w:gridCol w:w="1996"/>
        <w:gridCol w:w="346"/>
        <w:gridCol w:w="211"/>
        <w:gridCol w:w="346"/>
        <w:gridCol w:w="346"/>
        <w:gridCol w:w="346"/>
        <w:gridCol w:w="346"/>
        <w:gridCol w:w="211"/>
        <w:gridCol w:w="781"/>
        <w:gridCol w:w="346"/>
        <w:gridCol w:w="571"/>
        <w:gridCol w:w="346"/>
        <w:gridCol w:w="211"/>
        <w:gridCol w:w="901"/>
        <w:gridCol w:w="346"/>
        <w:gridCol w:w="691"/>
        <w:gridCol w:w="346"/>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1267460" cy="175260"/>
                      <wp:effectExtent l="0" t="0" r="0" b="0"/>
                      <wp:wrapNone/>
                      <wp:docPr id="382" name="Frame382"/>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19710" cy="175260"/>
                      <wp:effectExtent l="0" t="0" r="0" b="0"/>
                      <wp:wrapNone/>
                      <wp:docPr id="383" name="Frame3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133985" cy="175260"/>
                      <wp:effectExtent l="0" t="0" r="0" b="0"/>
                      <wp:wrapNone/>
                      <wp:docPr id="384" name="Frame3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219710" cy="175260"/>
                      <wp:effectExtent l="0" t="0" r="0" b="0"/>
                      <wp:wrapNone/>
                      <wp:docPr id="385" name="Frame3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19710" cy="175260"/>
                      <wp:effectExtent l="0" t="0" r="0" b="0"/>
                      <wp:wrapNone/>
                      <wp:docPr id="386" name="Frame3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19710" cy="175260"/>
                      <wp:effectExtent l="0" t="0" r="0" b="0"/>
                      <wp:wrapNone/>
                      <wp:docPr id="387" name="Frame3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219710" cy="175260"/>
                      <wp:effectExtent l="0" t="0" r="0" b="0"/>
                      <wp:wrapNone/>
                      <wp:docPr id="388" name="Frame3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133985" cy="175260"/>
                      <wp:effectExtent l="0" t="0" r="0" b="0"/>
                      <wp:wrapNone/>
                      <wp:docPr id="389" name="Frame3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495935" cy="175260"/>
                      <wp:effectExtent l="0" t="0" r="0" b="0"/>
                      <wp:wrapNone/>
                      <wp:docPr id="390" name="Frame39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219710" cy="175260"/>
                      <wp:effectExtent l="0" t="0" r="0" b="0"/>
                      <wp:wrapNone/>
                      <wp:docPr id="391" name="Frame3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362585" cy="175260"/>
                      <wp:effectExtent l="0" t="0" r="0" b="0"/>
                      <wp:wrapNone/>
                      <wp:docPr id="392" name="Frame39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219710" cy="175260"/>
                      <wp:effectExtent l="0" t="0" r="0" b="0"/>
                      <wp:wrapNone/>
                      <wp:docPr id="393" name="Frame3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133985" cy="175260"/>
                      <wp:effectExtent l="0" t="0" r="0" b="0"/>
                      <wp:wrapNone/>
                      <wp:docPr id="394" name="Frame3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572135" cy="175260"/>
                      <wp:effectExtent l="0" t="0" r="0" b="0"/>
                      <wp:wrapNone/>
                      <wp:docPr id="395" name="Frame395"/>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19710" cy="175260"/>
                      <wp:effectExtent l="0" t="0" r="0" b="0"/>
                      <wp:wrapNone/>
                      <wp:docPr id="396" name="Frame3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438785" cy="175260"/>
                      <wp:effectExtent l="0" t="0" r="0" b="0"/>
                      <wp:wrapNone/>
                      <wp:docPr id="397" name="Frame39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219710" cy="175260"/>
                      <wp:effectExtent l="0" t="0" r="0" b="0"/>
                      <wp:wrapNone/>
                      <wp:docPr id="398" name="Frame3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504"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 </w:t>
            </w:r>
          </w:p>
        </w:tc>
        <w:tc>
          <w:tcPr>
            <w:tcW w:w="346" w:type="dxa"/>
            <w:tcBorders/>
            <w:vAlign w:val="center"/>
          </w:tcPr>
          <w:p>
            <w:pPr>
              <w:pStyle w:val="TableContents"/>
              <w:bidi w:val="0"/>
              <w:spacing w:before="0" w:after="0"/>
              <w:ind w:left="0" w:right="0" w:hanging="0"/>
              <w:jc w:val="left"/>
              <w:rPr/>
            </w:pPr>
            <w:r>
              <w:rPr/>
              <w:t>  ​ ​ ​</w:t>
            </w:r>
          </w:p>
        </w:tc>
        <w:tc>
          <w:tcPr>
            <w:tcW w:w="214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left"/>
              <w:rPr/>
            </w:pPr>
            <w:r>
              <w:rPr/>
              <w:t> </w:t>
            </w:r>
          </w:p>
        </w:tc>
      </w:tr>
      <w:tr>
        <w:trPr/>
        <w:tc>
          <w:tcPr>
            <w:tcW w:w="19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4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190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rPr/>
            </w:pPr>
            <w:r>
              <w:rPr/>
              <w:t> </w:t>
            </w:r>
          </w:p>
        </w:tc>
      </w:tr>
      <w:tr>
        <w:trPr/>
        <w:tc>
          <w:tcPr>
            <w:tcW w:w="19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USD</w:t>
            </w:r>
          </w:p>
        </w:tc>
        <w:tc>
          <w:tcPr>
            <w:tcW w:w="346" w:type="dxa"/>
            <w:tcBorders/>
            <w:vAlign w:val="center"/>
          </w:tcPr>
          <w:p>
            <w:pPr>
              <w:pStyle w:val="TableContents"/>
              <w:bidi w:val="0"/>
              <w:spacing w:before="0" w:after="0"/>
              <w:ind w:left="0" w:right="0" w:hanging="0"/>
              <w:jc w:val="left"/>
              <w:rPr/>
            </w:pPr>
            <w:r>
              <w:rPr/>
              <w:t>  ​ ​ ​</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USD</w:t>
            </w:r>
          </w:p>
        </w:tc>
        <w:tc>
          <w:tcPr>
            <w:tcW w:w="346" w:type="dxa"/>
            <w:tcBorders/>
            <w:vAlign w:val="center"/>
          </w:tcPr>
          <w:p>
            <w:pPr>
              <w:pStyle w:val="TableContents"/>
              <w:bidi w:val="0"/>
              <w:spacing w:before="0" w:after="0"/>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 ​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 from Edward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52,684</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(52,684)</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 from TWEW</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301,442</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(301,442)</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354,126</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(354,126)</w:t>
            </w:r>
          </w:p>
        </w:tc>
        <w:tc>
          <w:tcPr>
            <w:tcW w:w="34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three months ended June 30, 2026, we reported revenue of $nil from logistics and warehousing services segment.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Revenue from Edward decreased by 100.0% to $nil for the three months ended June 30, 2026, compared to $52,684 for the same period in 2025. The decrease was primarily due to the disposal of Edward.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25, 2026, we entered into a Stock Purchase Agreement with Bing Shao, a non-U.S. individual, and Edward, pursuant to which we agreed to sell, assign, transfer, and deliver to Bing Shao 100% of the shares of common stock of Edward for an aggregate purchase price of $20,000. On April 1, 2026, the transaction was closed. We will continue to focus on improving operational efficiencies and expanding our market presence of TWEW in the California area.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Revenue from TWEW decreased by 100.0% to $nil for the three months ended June 30, 2026, compared to $301,442 for the same period in 2025, primarily due to tighter U.S. immigration policies, which increased labor costs and constrained labor availability, as well as unfavorable market conditions that reduced customer demand in the logistics and warehousing industries.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Cost of Revenues</w:t>
      </w:r>
    </w:p>
    <w:p>
      <w:pPr>
        <w:pStyle w:val="TextBody"/>
        <w:bidi w:val="0"/>
        <w:spacing w:before="0" w:after="0"/>
        <w:ind w:left="0" w:right="0" w:hanging="0"/>
        <w:jc w:val="left"/>
        <w:rPr/>
      </w:pPr>
      <w:r>
        <w:rPr/>
        <w:t>​</w:t>
      </w:r>
    </w:p>
    <w:tbl>
      <w:tblPr>
        <w:tblW w:w="9332" w:type="dxa"/>
        <w:jc w:val="left"/>
        <w:tblInd w:w="0" w:type="dxa"/>
        <w:tblLayout w:type="fixed"/>
        <w:tblCellMar>
          <w:top w:w="0" w:type="dxa"/>
          <w:left w:w="0" w:type="dxa"/>
          <w:bottom w:w="0" w:type="dxa"/>
          <w:right w:w="0" w:type="dxa"/>
        </w:tblCellMar>
      </w:tblPr>
      <w:tblGrid>
        <w:gridCol w:w="2626"/>
        <w:gridCol w:w="346"/>
        <w:gridCol w:w="211"/>
        <w:gridCol w:w="346"/>
        <w:gridCol w:w="346"/>
        <w:gridCol w:w="346"/>
        <w:gridCol w:w="346"/>
        <w:gridCol w:w="211"/>
        <w:gridCol w:w="781"/>
        <w:gridCol w:w="346"/>
        <w:gridCol w:w="571"/>
        <w:gridCol w:w="346"/>
        <w:gridCol w:w="211"/>
        <w:gridCol w:w="901"/>
        <w:gridCol w:w="346"/>
        <w:gridCol w:w="691"/>
        <w:gridCol w:w="361"/>
      </w:tblGrid>
      <w:tr>
        <w:trPr/>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1667510" cy="175260"/>
                      <wp:effectExtent l="0" t="0" r="0" b="0"/>
                      <wp:wrapNone/>
                      <wp:docPr id="399" name="Frame399"/>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19710" cy="175260"/>
                      <wp:effectExtent l="0" t="0" r="0" b="0"/>
                      <wp:wrapNone/>
                      <wp:docPr id="400" name="Frame4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133985" cy="175260"/>
                      <wp:effectExtent l="0" t="0" r="0" b="0"/>
                      <wp:wrapNone/>
                      <wp:docPr id="401" name="Frame4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219710" cy="175260"/>
                      <wp:effectExtent l="0" t="0" r="0" b="0"/>
                      <wp:wrapNone/>
                      <wp:docPr id="402" name="Frame4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19710" cy="175260"/>
                      <wp:effectExtent l="0" t="0" r="0" b="0"/>
                      <wp:wrapNone/>
                      <wp:docPr id="403" name="Frame4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219710" cy="175260"/>
                      <wp:effectExtent l="0" t="0" r="0" b="0"/>
                      <wp:wrapNone/>
                      <wp:docPr id="404" name="Frame4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219710" cy="175260"/>
                      <wp:effectExtent l="0" t="0" r="0" b="0"/>
                      <wp:wrapNone/>
                      <wp:docPr id="405" name="Frame4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133985" cy="175260"/>
                      <wp:effectExtent l="0" t="0" r="0" b="0"/>
                      <wp:wrapNone/>
                      <wp:docPr id="406" name="Frame4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495935" cy="175260"/>
                      <wp:effectExtent l="0" t="0" r="0" b="0"/>
                      <wp:wrapNone/>
                      <wp:docPr id="407" name="Frame40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219710" cy="175260"/>
                      <wp:effectExtent l="0" t="0" r="0" b="0"/>
                      <wp:wrapNone/>
                      <wp:docPr id="408" name="Frame4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362585" cy="175260"/>
                      <wp:effectExtent l="0" t="0" r="0" b="0"/>
                      <wp:wrapNone/>
                      <wp:docPr id="409" name="Frame40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219710" cy="175260"/>
                      <wp:effectExtent l="0" t="0" r="0" b="0"/>
                      <wp:wrapNone/>
                      <wp:docPr id="410" name="Frame4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133985" cy="175260"/>
                      <wp:effectExtent l="0" t="0" r="0" b="0"/>
                      <wp:wrapNone/>
                      <wp:docPr id="411" name="Frame4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572135" cy="175260"/>
                      <wp:effectExtent l="0" t="0" r="0" b="0"/>
                      <wp:wrapNone/>
                      <wp:docPr id="412" name="Frame41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219710" cy="175260"/>
                      <wp:effectExtent l="0" t="0" r="0" b="0"/>
                      <wp:wrapNone/>
                      <wp:docPr id="413" name="Frame4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438785" cy="175260"/>
                      <wp:effectExtent l="0" t="0" r="0" b="0"/>
                      <wp:wrapNone/>
                      <wp:docPr id="414" name="Frame41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229235" cy="175260"/>
                      <wp:effectExtent l="0" t="0" r="0" b="0"/>
                      <wp:wrapNone/>
                      <wp:docPr id="415" name="Frame41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504"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 </w:t>
            </w:r>
          </w:p>
        </w:tc>
        <w:tc>
          <w:tcPr>
            <w:tcW w:w="346" w:type="dxa"/>
            <w:tcBorders/>
            <w:vAlign w:val="center"/>
          </w:tcPr>
          <w:p>
            <w:pPr>
              <w:pStyle w:val="TableContents"/>
              <w:bidi w:val="0"/>
              <w:spacing w:before="0" w:after="0"/>
              <w:ind w:left="0" w:right="0" w:hanging="0"/>
              <w:jc w:val="left"/>
              <w:rPr/>
            </w:pPr>
            <w:r>
              <w:rPr/>
              <w:t>  ​ ​ ​</w:t>
            </w:r>
          </w:p>
        </w:tc>
        <w:tc>
          <w:tcPr>
            <w:tcW w:w="214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61" w:type="dxa"/>
            <w:tcBorders/>
            <w:vAlign w:val="center"/>
          </w:tcPr>
          <w:p>
            <w:pPr>
              <w:pStyle w:val="TableContents"/>
              <w:bidi w:val="0"/>
              <w:spacing w:before="0" w:after="0"/>
              <w:ind w:left="0" w:right="0" w:hanging="0"/>
              <w:jc w:val="left"/>
              <w:rPr/>
            </w:pPr>
            <w:r>
              <w:rPr/>
              <w:t> </w:t>
            </w:r>
          </w:p>
        </w:tc>
      </w:tr>
      <w:tr>
        <w:trPr/>
        <w:tc>
          <w:tcPr>
            <w:tcW w:w="26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4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190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61" w:type="dxa"/>
            <w:tcBorders/>
            <w:vAlign w:val="center"/>
          </w:tcPr>
          <w:p>
            <w:pPr>
              <w:pStyle w:val="TableContents"/>
              <w:bidi w:val="0"/>
              <w:spacing w:before="0" w:after="0"/>
              <w:ind w:left="0" w:right="0" w:hanging="0"/>
              <w:jc w:val="left"/>
              <w:rPr/>
            </w:pPr>
            <w:r>
              <w:rPr/>
              <w:t> </w:t>
            </w:r>
          </w:p>
        </w:tc>
      </w:tr>
      <w:tr>
        <w:trPr/>
        <w:tc>
          <w:tcPr>
            <w:tcW w:w="26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USD</w:t>
            </w:r>
          </w:p>
        </w:tc>
        <w:tc>
          <w:tcPr>
            <w:tcW w:w="346" w:type="dxa"/>
            <w:tcBorders/>
            <w:vAlign w:val="center"/>
          </w:tcPr>
          <w:p>
            <w:pPr>
              <w:pStyle w:val="TableContents"/>
              <w:bidi w:val="0"/>
              <w:spacing w:before="0" w:after="0"/>
              <w:ind w:left="0" w:right="0" w:hanging="0"/>
              <w:jc w:val="left"/>
              <w:rPr/>
            </w:pPr>
            <w:r>
              <w:rPr/>
              <w:t>  ​ ​ ​</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USD</w:t>
            </w:r>
          </w:p>
        </w:tc>
        <w:tc>
          <w:tcPr>
            <w:tcW w:w="346" w:type="dxa"/>
            <w:tcBorders/>
            <w:vAlign w:val="center"/>
          </w:tcPr>
          <w:p>
            <w:pPr>
              <w:pStyle w:val="TableContents"/>
              <w:bidi w:val="0"/>
              <w:spacing w:before="0" w:after="0"/>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 ​ ​</w:t>
            </w:r>
          </w:p>
        </w:tc>
        <w:tc>
          <w:tcPr>
            <w:tcW w:w="69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 </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Cost of Revenues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 from Edward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25,797</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(25,797)</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 from TWEW</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293,429</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91.9</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(293,429)</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cost of revenues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319,226</w:t>
            </w:r>
          </w:p>
        </w:tc>
        <w:tc>
          <w:tcPr>
            <w:tcW w:w="346"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(319,226)</w:t>
            </w:r>
          </w:p>
        </w:tc>
        <w:tc>
          <w:tcPr>
            <w:tcW w:w="34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three months ended June 30, 2026, total cost of revenues decreased to $nil from $319,226 for the same period in 2025, representing a decrease of $319,226, or 100.0%. Cost of revenues attributable to TWEW was $nil, compared to $293,429 for the same period in 2025, representing a decrease of $293,429, or 100.0%, consistent with the corresponding decline in revenue from TWEW.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Cost of revenues from Edward was $nil for the three months ended June 30, 2026, compared to $25,797 for the same period in 2025, representing a decrease of $25,797, or 100.0%, primarily due to the disposal of Edward in 2026, which resulted in the cessation of its operations. The decrease was consistent with the corresponding decline in revenue from Edward.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Cost of revenues was mainly labor costs for TWEW and ocean freight service costs for Edward.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0"/>
        <w:ind w:left="0" w:right="0" w:hanging="0"/>
        <w:jc w:val="left"/>
        <w:rPr/>
      </w:pPr>
      <w:r>
        <w:rPr/>
        <w:t>​</w:t>
      </w:r>
    </w:p>
    <w:tbl>
      <w:tblPr>
        <w:tblW w:w="9008" w:type="dxa"/>
        <w:jc w:val="left"/>
        <w:tblInd w:w="0" w:type="dxa"/>
        <w:tblLayout w:type="fixed"/>
        <w:tblCellMar>
          <w:top w:w="0" w:type="dxa"/>
          <w:left w:w="0" w:type="dxa"/>
          <w:bottom w:w="0" w:type="dxa"/>
          <w:right w:w="0" w:type="dxa"/>
        </w:tblCellMar>
      </w:tblPr>
      <w:tblGrid>
        <w:gridCol w:w="3646"/>
        <w:gridCol w:w="346"/>
        <w:gridCol w:w="219"/>
        <w:gridCol w:w="702"/>
        <w:gridCol w:w="359"/>
        <w:gridCol w:w="219"/>
        <w:gridCol w:w="811"/>
        <w:gridCol w:w="346"/>
        <w:gridCol w:w="211"/>
        <w:gridCol w:w="796"/>
        <w:gridCol w:w="346"/>
        <w:gridCol w:w="691"/>
        <w:gridCol w:w="316"/>
      </w:tblGrid>
      <w:tr>
        <w:trPr/>
        <w:tc>
          <w:tcPr>
            <w:tcW w:w="3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2315210" cy="175260"/>
                      <wp:effectExtent l="0" t="0" r="0" b="0"/>
                      <wp:wrapNone/>
                      <wp:docPr id="416" name="Frame416"/>
                      <a:graphic xmlns:a="http://schemas.openxmlformats.org/drawingml/2006/main">
                        <a:graphicData uri="http://schemas.microsoft.com/office/word/2010/wordprocessingShape">
                          <wps:wsp>
                            <wps:cNvSpPr txBox="1"/>
                            <wps:spPr>
                              <a:xfrm>
                                <a:off x="0" y="0"/>
                                <a:ext cx="2315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219710" cy="175260"/>
                      <wp:effectExtent l="0" t="0" r="0" b="0"/>
                      <wp:wrapNone/>
                      <wp:docPr id="417" name="Frame4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139065" cy="175260"/>
                      <wp:effectExtent l="0" t="0" r="0" b="0"/>
                      <wp:wrapNone/>
                      <wp:docPr id="418" name="Frame418"/>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445770" cy="175260"/>
                      <wp:effectExtent l="0" t="0" r="0" b="0"/>
                      <wp:wrapNone/>
                      <wp:docPr id="419" name="Frame419"/>
                      <a:graphic xmlns:a="http://schemas.openxmlformats.org/drawingml/2006/main">
                        <a:graphicData uri="http://schemas.microsoft.com/office/word/2010/wordprocessingShape">
                          <wps:wsp>
                            <wps:cNvSpPr txBox="1"/>
                            <wps:spPr>
                              <a:xfrm>
                                <a:off x="0" y="0"/>
                                <a:ext cx="445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227965" cy="175260"/>
                      <wp:effectExtent l="0" t="0" r="0" b="0"/>
                      <wp:wrapNone/>
                      <wp:docPr id="420" name="Frame420"/>
                      <a:graphic xmlns:a="http://schemas.openxmlformats.org/drawingml/2006/main">
                        <a:graphicData uri="http://schemas.microsoft.com/office/word/2010/wordprocessingShape">
                          <wps:wsp>
                            <wps:cNvSpPr txBox="1"/>
                            <wps:spPr>
                              <a:xfrm>
                                <a:off x="0" y="0"/>
                                <a:ext cx="227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139065" cy="175260"/>
                      <wp:effectExtent l="0" t="0" r="0" b="0"/>
                      <wp:wrapNone/>
                      <wp:docPr id="421" name="Frame421"/>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514985" cy="175260"/>
                      <wp:effectExtent l="0" t="0" r="0" b="0"/>
                      <wp:wrapNone/>
                      <wp:docPr id="422" name="Frame422"/>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219710" cy="175260"/>
                      <wp:effectExtent l="0" t="0" r="0" b="0"/>
                      <wp:wrapNone/>
                      <wp:docPr id="423" name="Frame4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133985" cy="175260"/>
                      <wp:effectExtent l="0" t="0" r="0" b="0"/>
                      <wp:wrapNone/>
                      <wp:docPr id="424" name="Frame4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505460" cy="175260"/>
                      <wp:effectExtent l="0" t="0" r="0" b="0"/>
                      <wp:wrapNone/>
                      <wp:docPr id="425" name="Frame42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219710" cy="175260"/>
                      <wp:effectExtent l="0" t="0" r="0" b="0"/>
                      <wp:wrapNone/>
                      <wp:docPr id="426" name="Frame4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438785" cy="175260"/>
                      <wp:effectExtent l="0" t="0" r="0" b="0"/>
                      <wp:wrapNone/>
                      <wp:docPr id="427" name="Frame42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200660" cy="175260"/>
                      <wp:effectExtent l="0" t="0" r="0" b="0"/>
                      <wp:wrapNone/>
                      <wp:docPr id="428" name="Frame42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3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0"/>
              <w:ind w:left="0" w:right="0" w:hanging="0"/>
              <w:jc w:val="center"/>
              <w:rPr/>
            </w:pPr>
            <w:r>
              <w:rPr/>
              <w:t>  ​ ​ ​</w:t>
            </w:r>
          </w:p>
        </w:tc>
        <w:tc>
          <w:tcPr>
            <w:tcW w:w="204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0"/>
              <w:ind w:left="0" w:right="0" w:hanging="0"/>
              <w:jc w:val="left"/>
              <w:rPr/>
            </w:pPr>
            <w:r>
              <w:rPr/>
              <w:t> </w:t>
            </w:r>
          </w:p>
        </w:tc>
      </w:tr>
      <w:tr>
        <w:trPr/>
        <w:tc>
          <w:tcPr>
            <w:tcW w:w="3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59" w:type="dxa"/>
            <w:tcBorders/>
            <w:vAlign w:val="center"/>
          </w:tcPr>
          <w:p>
            <w:pPr>
              <w:pStyle w:val="TableContents"/>
              <w:bidi w:val="0"/>
              <w:spacing w:before="0" w:after="0"/>
              <w:ind w:left="0" w:right="0" w:hanging="0"/>
              <w:jc w:val="center"/>
              <w:rPr/>
            </w:pPr>
            <w:r>
              <w:rPr/>
              <w:t>  ​ ​ ​</w:t>
            </w:r>
          </w:p>
        </w:tc>
        <w:tc>
          <w:tcPr>
            <w:tcW w:w="10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0"/>
              <w:ind w:left="0" w:right="0" w:hanging="0"/>
              <w:jc w:val="left"/>
              <w:rPr/>
            </w:pPr>
            <w:r>
              <w:rPr/>
              <w:t> </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General and Administrative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219" w:type="dxa"/>
            <w:tcBorders/>
            <w:shd w:fill="CCEEFF" w:val="clear"/>
            <w:vAlign w:val="center"/>
          </w:tcPr>
          <w:p>
            <w:pPr>
              <w:pStyle w:val="TableContents"/>
              <w:bidi w:val="0"/>
              <w:spacing w:before="0" w:after="0"/>
              <w:ind w:left="0" w:right="0" w:hanging="0"/>
              <w:jc w:val="left"/>
              <w:rPr/>
            </w:pPr>
            <w:r>
              <w:rPr/>
              <w:t>​</w:t>
            </w:r>
          </w:p>
        </w:tc>
        <w:tc>
          <w:tcPr>
            <w:tcW w:w="702" w:type="dxa"/>
            <w:tcBorders/>
            <w:shd w:fill="CCEEFF" w:val="clear"/>
            <w:vAlign w:val="center"/>
          </w:tcPr>
          <w:p>
            <w:pPr>
              <w:pStyle w:val="TableContents"/>
              <w:bidi w:val="0"/>
              <w:spacing w:before="0" w:after="0"/>
              <w:ind w:left="0" w:right="0" w:hanging="0"/>
              <w:jc w:val="right"/>
              <w:rPr/>
            </w:pPr>
            <w:r>
              <w:rPr/>
              <w:t>  ​</w:t>
            </w:r>
          </w:p>
        </w:tc>
        <w:tc>
          <w:tcPr>
            <w:tcW w:w="359" w:type="dxa"/>
            <w:tcBorders/>
            <w:shd w:fill="CCEEFF" w:val="clear"/>
            <w:vAlign w:val="center"/>
          </w:tcPr>
          <w:p>
            <w:pPr>
              <w:pStyle w:val="TableContents"/>
              <w:bidi w:val="0"/>
              <w:spacing w:before="0" w:after="0"/>
              <w:ind w:left="0" w:right="0" w:hanging="0"/>
              <w:jc w:val="left"/>
              <w:rPr/>
            </w:pPr>
            <w:r>
              <w:rPr/>
              <w:t> </w:t>
            </w:r>
          </w:p>
        </w:tc>
        <w:tc>
          <w:tcPr>
            <w:tcW w:w="219"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Payroll and Benefits</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vAlign w:val="center"/>
          </w:tcPr>
          <w:p>
            <w:pPr>
              <w:pStyle w:val="TableContents"/>
              <w:bidi w:val="0"/>
              <w:spacing w:before="0" w:after="0"/>
              <w:ind w:left="0" w:right="0" w:hanging="0"/>
              <w:jc w:val="right"/>
              <w:rPr/>
            </w:pPr>
            <w:r>
              <w:rPr/>
              <w:t>—</w:t>
            </w:r>
          </w:p>
        </w:tc>
        <w:tc>
          <w:tcPr>
            <w:tcW w:w="359"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19,261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(19,261)</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Rental and Leases</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702" w:type="dxa"/>
            <w:tcBorders/>
            <w:shd w:fill="CCEEFF" w:val="clear"/>
            <w:vAlign w:val="center"/>
          </w:tcPr>
          <w:p>
            <w:pPr>
              <w:pStyle w:val="TableContents"/>
              <w:bidi w:val="0"/>
              <w:spacing w:before="0" w:after="0"/>
              <w:ind w:left="0" w:right="0" w:hanging="0"/>
              <w:jc w:val="right"/>
              <w:rPr/>
            </w:pPr>
            <w:r>
              <w:rPr/>
              <w:t>—</w:t>
            </w:r>
          </w:p>
        </w:tc>
        <w:tc>
          <w:tcPr>
            <w:tcW w:w="359"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(46,030)</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Travel and Entertainment</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c>
          <w:tcPr>
            <w:tcW w:w="359"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Insurance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702" w:type="dxa"/>
            <w:tcBorders/>
            <w:shd w:fill="CCEEFF" w:val="clear"/>
            <w:vAlign w:val="center"/>
          </w:tcPr>
          <w:p>
            <w:pPr>
              <w:pStyle w:val="TableContents"/>
              <w:bidi w:val="0"/>
              <w:spacing w:before="0" w:after="0"/>
              <w:ind w:left="0" w:right="0" w:hanging="0"/>
              <w:jc w:val="right"/>
              <w:rPr/>
            </w:pPr>
            <w:r>
              <w:rPr/>
              <w:t>—</w:t>
            </w:r>
          </w:p>
        </w:tc>
        <w:tc>
          <w:tcPr>
            <w:tcW w:w="359"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 Expenses</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c>
          <w:tcPr>
            <w:tcW w:w="359"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(16,329)</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1,057</w:t>
            </w:r>
          </w:p>
        </w:tc>
        <w:tc>
          <w:tcPr>
            <w:tcW w:w="359" w:type="dxa"/>
            <w:tcBorders/>
            <w:shd w:fill="CCEEFF" w:val="clear"/>
            <w:vAlign w:val="center"/>
          </w:tcPr>
          <w:p>
            <w:pPr>
              <w:pStyle w:val="TableContents"/>
              <w:bidi w:val="0"/>
              <w:spacing w:before="0" w:after="0"/>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(15,190)</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1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16,251</w:t>
            </w:r>
          </w:p>
        </w:tc>
        <w:tc>
          <w:tcPr>
            <w:tcW w:w="359" w:type="dxa"/>
            <w:tcBorders/>
            <w:vAlign w:val="center"/>
          </w:tcPr>
          <w:p>
            <w:pPr>
              <w:pStyle w:val="TableContents"/>
              <w:bidi w:val="0"/>
              <w:spacing w:before="0" w:after="0"/>
              <w:ind w:left="0" w:right="0" w:hanging="0"/>
              <w:jc w:val="left"/>
              <w:rPr/>
            </w:pPr>
            <w:r>
              <w:rPr/>
              <w:t>​</w:t>
            </w:r>
          </w:p>
        </w:tc>
        <w:tc>
          <w:tcPr>
            <w:tcW w:w="21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113,660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(97,409)</w:t>
            </w:r>
          </w:p>
        </w:tc>
        <w:tc>
          <w:tcPr>
            <w:tcW w:w="346" w:type="dxa"/>
            <w:tcBorders/>
            <w:vAlign w:val="center"/>
          </w:tcPr>
          <w:p>
            <w:pPr>
              <w:pStyle w:val="TableContents"/>
              <w:bidi w:val="0"/>
              <w:spacing w:before="0" w:after="0"/>
              <w:ind w:left="0" w:right="0" w:hanging="0"/>
              <w:jc w:val="left"/>
              <w:rPr/>
            </w:pPr>
            <w:r>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General and of revenues was mainly labor costs for TWEW and ocean freight services-logistics and warehousing services segment decreased by $97,409, or 85.7%, to $16,251 for the three months ended June 30, 2026 from $113,660 for the three months ended June 30, 2025. The decrease was mainly due to the disposal of Edward in 2026.</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Continuing Operations- International Trading</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Revenues</w:t>
      </w:r>
    </w:p>
    <w:p>
      <w:pPr>
        <w:pStyle w:val="TextBody"/>
        <w:bidi w:val="0"/>
        <w:spacing w:before="0" w:after="240"/>
        <w:ind w:left="0" w:right="0" w:hanging="0"/>
        <w:jc w:val="both"/>
        <w:rPr/>
      </w:pPr>
      <w:r>
        <w:rPr/>
        <w:t>​</w:t>
      </w:r>
    </w:p>
    <w:tbl>
      <w:tblPr>
        <w:tblW w:w="9482" w:type="dxa"/>
        <w:jc w:val="left"/>
        <w:tblInd w:w="0" w:type="dxa"/>
        <w:tblLayout w:type="fixed"/>
        <w:tblCellMar>
          <w:top w:w="0" w:type="dxa"/>
          <w:left w:w="0" w:type="dxa"/>
          <w:bottom w:w="0" w:type="dxa"/>
          <w:right w:w="0" w:type="dxa"/>
        </w:tblCellMar>
      </w:tblPr>
      <w:tblGrid>
        <w:gridCol w:w="2941"/>
        <w:gridCol w:w="346"/>
        <w:gridCol w:w="211"/>
        <w:gridCol w:w="781"/>
        <w:gridCol w:w="346"/>
        <w:gridCol w:w="571"/>
        <w:gridCol w:w="391"/>
        <w:gridCol w:w="211"/>
        <w:gridCol w:w="346"/>
        <w:gridCol w:w="346"/>
        <w:gridCol w:w="346"/>
        <w:gridCol w:w="391"/>
        <w:gridCol w:w="211"/>
        <w:gridCol w:w="781"/>
        <w:gridCol w:w="346"/>
        <w:gridCol w:w="571"/>
        <w:gridCol w:w="346"/>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1867535" cy="175260"/>
                      <wp:effectExtent l="0" t="0" r="0" b="0"/>
                      <wp:wrapNone/>
                      <wp:docPr id="429" name="Frame429"/>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219710" cy="175260"/>
                      <wp:effectExtent l="0" t="0" r="0" b="0"/>
                      <wp:wrapNone/>
                      <wp:docPr id="430" name="Frame4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133985" cy="175260"/>
                      <wp:effectExtent l="0" t="0" r="0" b="0"/>
                      <wp:wrapNone/>
                      <wp:docPr id="431" name="Frame4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495935" cy="175260"/>
                      <wp:effectExtent l="0" t="0" r="0" b="0"/>
                      <wp:wrapNone/>
                      <wp:docPr id="432" name="Frame43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219710" cy="175260"/>
                      <wp:effectExtent l="0" t="0" r="0" b="0"/>
                      <wp:wrapNone/>
                      <wp:docPr id="433" name="Frame4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362585" cy="175260"/>
                      <wp:effectExtent l="0" t="0" r="0" b="0"/>
                      <wp:wrapNone/>
                      <wp:docPr id="434" name="Frame43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248285" cy="175260"/>
                      <wp:effectExtent l="0" t="0" r="0" b="0"/>
                      <wp:wrapNone/>
                      <wp:docPr id="435" name="Frame435"/>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133985" cy="175260"/>
                      <wp:effectExtent l="0" t="0" r="0" b="0"/>
                      <wp:wrapNone/>
                      <wp:docPr id="436" name="Frame4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219710" cy="175260"/>
                      <wp:effectExtent l="0" t="0" r="0" b="0"/>
                      <wp:wrapNone/>
                      <wp:docPr id="437" name="Frame4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219710" cy="175260"/>
                      <wp:effectExtent l="0" t="0" r="0" b="0"/>
                      <wp:wrapNone/>
                      <wp:docPr id="438" name="Frame4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219710" cy="175260"/>
                      <wp:effectExtent l="0" t="0" r="0" b="0"/>
                      <wp:wrapNone/>
                      <wp:docPr id="439" name="Frame4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248285" cy="175260"/>
                      <wp:effectExtent l="0" t="0" r="0" b="0"/>
                      <wp:wrapNone/>
                      <wp:docPr id="440" name="Frame440"/>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133985" cy="175260"/>
                      <wp:effectExtent l="0" t="0" r="0" b="0"/>
                      <wp:wrapNone/>
                      <wp:docPr id="441" name="Frame4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495935" cy="175260"/>
                      <wp:effectExtent l="0" t="0" r="0" b="0"/>
                      <wp:wrapNone/>
                      <wp:docPr id="442" name="Frame44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219710" cy="175260"/>
                      <wp:effectExtent l="0" t="0" r="0" b="0"/>
                      <wp:wrapNone/>
                      <wp:docPr id="443" name="Frame4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362585" cy="175260"/>
                      <wp:effectExtent l="0" t="0" r="0" b="0"/>
                      <wp:wrapNone/>
                      <wp:docPr id="444" name="Frame44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219710" cy="175260"/>
                      <wp:effectExtent l="0" t="0" r="0" b="0"/>
                      <wp:wrapNone/>
                      <wp:docPr id="445" name="Frame4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549"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w:t>
            </w:r>
          </w:p>
        </w:tc>
        <w:tc>
          <w:tcPr>
            <w:tcW w:w="391" w:type="dxa"/>
            <w:tcBorders/>
            <w:vAlign w:val="center"/>
          </w:tcPr>
          <w:p>
            <w:pPr>
              <w:pStyle w:val="TableContents"/>
              <w:bidi w:val="0"/>
              <w:spacing w:before="0" w:after="1"/>
              <w:ind w:left="0" w:right="0" w:hanging="0"/>
              <w:jc w:val="left"/>
              <w:rPr/>
            </w:pPr>
            <w:r>
              <w:rPr/>
              <w:t>​</w:t>
            </w:r>
          </w:p>
        </w:tc>
        <w:tc>
          <w:tcPr>
            <w:tcW w:w="190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1"/>
              <w:ind w:left="0" w:right="0" w:hanging="0"/>
              <w:jc w:val="center"/>
              <w:rPr/>
            </w:pPr>
            <w:r>
              <w:rPr/>
              <w:t> </w:t>
            </w:r>
          </w:p>
        </w:tc>
      </w:tr>
      <w:tr>
        <w:trPr/>
        <w:tc>
          <w:tcPr>
            <w:tcW w:w="29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90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91" w:type="dxa"/>
            <w:tcBorders/>
            <w:vAlign w:val="center"/>
          </w:tcPr>
          <w:p>
            <w:pPr>
              <w:pStyle w:val="TableContents"/>
              <w:bidi w:val="0"/>
              <w:spacing w:before="0" w:after="1"/>
              <w:ind w:left="0" w:right="0" w:hanging="0"/>
              <w:jc w:val="left"/>
              <w:rPr/>
            </w:pPr>
            <w:r>
              <w:rPr/>
              <w:t>​</w:t>
            </w:r>
          </w:p>
        </w:tc>
        <w:tc>
          <w:tcPr>
            <w:tcW w:w="124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center"/>
              <w:rPr/>
            </w:pPr>
            <w:r>
              <w:rPr/>
              <w:t> </w:t>
            </w:r>
          </w:p>
        </w:tc>
      </w:tr>
      <w:tr>
        <w:trPr/>
        <w:tc>
          <w:tcPr>
            <w:tcW w:w="29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90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91" w:type="dxa"/>
            <w:tcBorders/>
            <w:vAlign w:val="center"/>
          </w:tcPr>
          <w:p>
            <w:pPr>
              <w:pStyle w:val="TableContents"/>
              <w:bidi w:val="0"/>
              <w:spacing w:before="0" w:after="1"/>
              <w:ind w:left="0" w:right="0" w:hanging="0"/>
              <w:jc w:val="left"/>
              <w:rPr/>
            </w:pPr>
            <w:r>
              <w:rPr/>
              <w:t>​</w:t>
            </w:r>
          </w:p>
        </w:tc>
        <w:tc>
          <w:tcPr>
            <w:tcW w:w="124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9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w:t>
            </w:r>
          </w:p>
        </w:tc>
      </w:tr>
      <w:tr>
        <w:trPr/>
        <w:tc>
          <w:tcPr>
            <w:tcW w:w="29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USD</w:t>
            </w:r>
          </w:p>
        </w:tc>
        <w:tc>
          <w:tcPr>
            <w:tcW w:w="346" w:type="dxa"/>
            <w:tcBorders/>
            <w:vAlign w:val="center"/>
          </w:tcPr>
          <w:p>
            <w:pPr>
              <w:pStyle w:val="TableContents"/>
              <w:bidi w:val="0"/>
              <w:spacing w:before="0" w:after="1"/>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391" w:type="dxa"/>
            <w:tcBorders/>
            <w:vAlign w:val="center"/>
          </w:tcPr>
          <w:p>
            <w:pPr>
              <w:pStyle w:val="TableContents"/>
              <w:bidi w:val="0"/>
              <w:spacing w:before="0" w:after="1"/>
              <w:ind w:left="0" w:right="0" w:hanging="0"/>
              <w:jc w:val="left"/>
              <w:rPr/>
            </w:pPr>
            <w:r>
              <w:rPr/>
              <w:t>  ​ ​ ​</w:t>
            </w:r>
          </w:p>
        </w:tc>
        <w:tc>
          <w:tcPr>
            <w:tcW w:w="5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USD</w:t>
            </w:r>
          </w:p>
        </w:tc>
        <w:tc>
          <w:tcPr>
            <w:tcW w:w="346" w:type="dxa"/>
            <w:tcBorders/>
            <w:vAlign w:val="center"/>
          </w:tcPr>
          <w:p>
            <w:pPr>
              <w:pStyle w:val="TableContents"/>
              <w:bidi w:val="0"/>
              <w:spacing w:before="0" w:after="1"/>
              <w:ind w:left="0" w:right="0" w:hanging="0"/>
              <w:jc w:val="center"/>
              <w:rPr/>
            </w:pPr>
            <w:r>
              <w:rPr/>
              <w:t>  ​ ​ ​</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391" w:type="dxa"/>
            <w:tcBorders/>
            <w:vAlign w:val="center"/>
          </w:tcPr>
          <w:p>
            <w:pPr>
              <w:pStyle w:val="TableContents"/>
              <w:bidi w:val="0"/>
              <w:spacing w:before="0" w:after="1"/>
              <w:ind w:left="0" w:right="0" w:hanging="0"/>
              <w:jc w:val="left"/>
              <w:rPr/>
            </w:pPr>
            <w:r>
              <w:rPr/>
              <w:t>  ​ ​ ​</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 from Cheetah</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208,909</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208,909</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 from Super International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660,000</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76.0</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660,000</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868,909</w:t>
            </w:r>
          </w:p>
        </w:tc>
        <w:tc>
          <w:tcPr>
            <w:tcW w:w="34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868,909</w:t>
            </w:r>
          </w:p>
        </w:tc>
        <w:tc>
          <w:tcPr>
            <w:tcW w:w="34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three months ended June 30, 2026, we reported revenue of $868,909 from international trading segment, including $208,909, or 24.0%, of our total revenue from Cheetah and $660,000, or 76.0%, of our total revenue from Super International, which we acquired in May 27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Revenue from Cheetah increased by 100.0% to $208,909 for the three months ended June 30, 2026, compared to $nil for the same period in 2025. The increase was primarily due to the expansion of our international trading business following the acquisition of Super International.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Revenue from Super International increased by 100.0% to $660,000 for the three months ended June 30, 2026, compared to $nil for the same period in 2025, primarily due to acquisition of Super International. on May 27, 2026, and its operating results were included in our consolidated financial statements beginning on the acquisition date.</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Cost of Revenues</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559"/>
        <w:gridCol w:w="346"/>
        <w:gridCol w:w="211"/>
        <w:gridCol w:w="781"/>
        <w:gridCol w:w="346"/>
        <w:gridCol w:w="676"/>
        <w:gridCol w:w="391"/>
        <w:gridCol w:w="211"/>
        <w:gridCol w:w="346"/>
        <w:gridCol w:w="346"/>
        <w:gridCol w:w="346"/>
        <w:gridCol w:w="391"/>
        <w:gridCol w:w="211"/>
        <w:gridCol w:w="781"/>
        <w:gridCol w:w="346"/>
        <w:gridCol w:w="571"/>
        <w:gridCol w:w="346"/>
      </w:tblGrid>
      <w:tr>
        <w:trPr/>
        <w:tc>
          <w:tcPr>
            <w:tcW w:w="35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2259965" cy="175260"/>
                      <wp:effectExtent l="0" t="0" r="0" b="0"/>
                      <wp:wrapNone/>
                      <wp:docPr id="446" name="Frame446"/>
                      <a:graphic xmlns:a="http://schemas.openxmlformats.org/drawingml/2006/main">
                        <a:graphicData uri="http://schemas.microsoft.com/office/word/2010/wordprocessingShape">
                          <wps:wsp>
                            <wps:cNvSpPr txBox="1"/>
                            <wps:spPr>
                              <a:xfrm>
                                <a:off x="0" y="0"/>
                                <a:ext cx="22599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219710" cy="175260"/>
                      <wp:effectExtent l="0" t="0" r="0" b="0"/>
                      <wp:wrapNone/>
                      <wp:docPr id="447" name="Frame4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133985" cy="175260"/>
                      <wp:effectExtent l="0" t="0" r="0" b="0"/>
                      <wp:wrapNone/>
                      <wp:docPr id="448" name="Frame4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495935" cy="175260"/>
                      <wp:effectExtent l="0" t="0" r="0" b="0"/>
                      <wp:wrapNone/>
                      <wp:docPr id="449" name="Frame44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219710" cy="175260"/>
                      <wp:effectExtent l="0" t="0" r="0" b="0"/>
                      <wp:wrapNone/>
                      <wp:docPr id="450" name="Frame4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429260" cy="175260"/>
                      <wp:effectExtent l="0" t="0" r="0" b="0"/>
                      <wp:wrapNone/>
                      <wp:docPr id="451" name="Frame45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248285" cy="175260"/>
                      <wp:effectExtent l="0" t="0" r="0" b="0"/>
                      <wp:wrapNone/>
                      <wp:docPr id="452" name="Frame452"/>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133985" cy="175260"/>
                      <wp:effectExtent l="0" t="0" r="0" b="0"/>
                      <wp:wrapNone/>
                      <wp:docPr id="453" name="Frame4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219710" cy="175260"/>
                      <wp:effectExtent l="0" t="0" r="0" b="0"/>
                      <wp:wrapNone/>
                      <wp:docPr id="454" name="Frame4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219710" cy="175260"/>
                      <wp:effectExtent l="0" t="0" r="0" b="0"/>
                      <wp:wrapNone/>
                      <wp:docPr id="455" name="Frame4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219710" cy="175260"/>
                      <wp:effectExtent l="0" t="0" r="0" b="0"/>
                      <wp:wrapNone/>
                      <wp:docPr id="456" name="Frame4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248285" cy="175260"/>
                      <wp:effectExtent l="0" t="0" r="0" b="0"/>
                      <wp:wrapNone/>
                      <wp:docPr id="457" name="Frame457"/>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133985" cy="175260"/>
                      <wp:effectExtent l="0" t="0" r="0" b="0"/>
                      <wp:wrapNone/>
                      <wp:docPr id="458" name="Frame4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495935" cy="175260"/>
                      <wp:effectExtent l="0" t="0" r="0" b="0"/>
                      <wp:wrapNone/>
                      <wp:docPr id="459" name="Frame45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219710" cy="175260"/>
                      <wp:effectExtent l="0" t="0" r="0" b="0"/>
                      <wp:wrapNone/>
                      <wp:docPr id="460" name="Frame4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362585" cy="175260"/>
                      <wp:effectExtent l="0" t="0" r="0" b="0"/>
                      <wp:wrapNone/>
                      <wp:docPr id="461" name="Frame46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219710" cy="175260"/>
                      <wp:effectExtent l="0" t="0" r="0" b="0"/>
                      <wp:wrapNone/>
                      <wp:docPr id="462" name="Frame4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5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654"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w:t>
            </w:r>
          </w:p>
        </w:tc>
        <w:tc>
          <w:tcPr>
            <w:tcW w:w="391" w:type="dxa"/>
            <w:tcBorders/>
            <w:vAlign w:val="center"/>
          </w:tcPr>
          <w:p>
            <w:pPr>
              <w:pStyle w:val="TableContents"/>
              <w:bidi w:val="0"/>
              <w:spacing w:before="0" w:after="1"/>
              <w:ind w:left="0" w:right="0" w:hanging="0"/>
              <w:jc w:val="left"/>
              <w:rPr/>
            </w:pPr>
            <w:r>
              <w:rPr/>
              <w:t>​</w:t>
            </w:r>
          </w:p>
        </w:tc>
        <w:tc>
          <w:tcPr>
            <w:tcW w:w="190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1"/>
              <w:ind w:left="0" w:right="0" w:hanging="0"/>
              <w:jc w:val="center"/>
              <w:rPr/>
            </w:pPr>
            <w:r>
              <w:rPr/>
              <w:t> </w:t>
            </w:r>
          </w:p>
        </w:tc>
      </w:tr>
      <w:tr>
        <w:trPr/>
        <w:tc>
          <w:tcPr>
            <w:tcW w:w="355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01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91" w:type="dxa"/>
            <w:tcBorders/>
            <w:vAlign w:val="center"/>
          </w:tcPr>
          <w:p>
            <w:pPr>
              <w:pStyle w:val="TableContents"/>
              <w:bidi w:val="0"/>
              <w:spacing w:before="0" w:after="1"/>
              <w:ind w:left="0" w:right="0" w:hanging="0"/>
              <w:jc w:val="left"/>
              <w:rPr/>
            </w:pPr>
            <w:r>
              <w:rPr/>
              <w:t>​</w:t>
            </w:r>
          </w:p>
        </w:tc>
        <w:tc>
          <w:tcPr>
            <w:tcW w:w="124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center"/>
              <w:rPr/>
            </w:pPr>
            <w:r>
              <w:rPr/>
              <w:t> </w:t>
            </w:r>
          </w:p>
        </w:tc>
      </w:tr>
      <w:tr>
        <w:trPr/>
        <w:tc>
          <w:tcPr>
            <w:tcW w:w="355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01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91" w:type="dxa"/>
            <w:tcBorders/>
            <w:vAlign w:val="center"/>
          </w:tcPr>
          <w:p>
            <w:pPr>
              <w:pStyle w:val="TableContents"/>
              <w:bidi w:val="0"/>
              <w:spacing w:before="0" w:after="1"/>
              <w:ind w:left="0" w:right="0" w:hanging="0"/>
              <w:jc w:val="left"/>
              <w:rPr/>
            </w:pPr>
            <w:r>
              <w:rPr/>
              <w:t>​</w:t>
            </w:r>
          </w:p>
        </w:tc>
        <w:tc>
          <w:tcPr>
            <w:tcW w:w="124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9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w:t>
            </w:r>
          </w:p>
        </w:tc>
      </w:tr>
      <w:tr>
        <w:trPr/>
        <w:tc>
          <w:tcPr>
            <w:tcW w:w="355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USD</w:t>
            </w:r>
          </w:p>
        </w:tc>
        <w:tc>
          <w:tcPr>
            <w:tcW w:w="346" w:type="dxa"/>
            <w:tcBorders/>
            <w:vAlign w:val="center"/>
          </w:tcPr>
          <w:p>
            <w:pPr>
              <w:pStyle w:val="TableContents"/>
              <w:bidi w:val="0"/>
              <w:spacing w:before="0" w:after="1"/>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391" w:type="dxa"/>
            <w:tcBorders/>
            <w:vAlign w:val="center"/>
          </w:tcPr>
          <w:p>
            <w:pPr>
              <w:pStyle w:val="TableContents"/>
              <w:bidi w:val="0"/>
              <w:spacing w:before="0" w:after="1"/>
              <w:ind w:left="0" w:right="0" w:hanging="0"/>
              <w:jc w:val="left"/>
              <w:rPr/>
            </w:pPr>
            <w:r>
              <w:rPr/>
              <w:t>  ​ ​ ​</w:t>
            </w:r>
          </w:p>
        </w:tc>
        <w:tc>
          <w:tcPr>
            <w:tcW w:w="5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USD</w:t>
            </w:r>
          </w:p>
        </w:tc>
        <w:tc>
          <w:tcPr>
            <w:tcW w:w="346" w:type="dxa"/>
            <w:tcBorders/>
            <w:vAlign w:val="center"/>
          </w:tcPr>
          <w:p>
            <w:pPr>
              <w:pStyle w:val="TableContents"/>
              <w:bidi w:val="0"/>
              <w:spacing w:before="0" w:after="1"/>
              <w:ind w:left="0" w:right="0" w:hanging="0"/>
              <w:jc w:val="center"/>
              <w:rPr/>
            </w:pPr>
            <w:r>
              <w:rPr/>
              <w:t>  ​ ​ ​</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391" w:type="dxa"/>
            <w:tcBorders/>
            <w:vAlign w:val="center"/>
          </w:tcPr>
          <w:p>
            <w:pPr>
              <w:pStyle w:val="TableContents"/>
              <w:bidi w:val="0"/>
              <w:spacing w:before="0" w:after="1"/>
              <w:ind w:left="0" w:right="0" w:hanging="0"/>
              <w:jc w:val="left"/>
              <w:rPr/>
            </w:pPr>
            <w:r>
              <w:rPr/>
              <w:t>  ​ ​ ​</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w:t>
            </w:r>
          </w:p>
        </w:tc>
      </w:tr>
      <w:tr>
        <w:trPr/>
        <w:tc>
          <w:tcPr>
            <w:tcW w:w="3559"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Cost of Revenues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355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Revenues from Cheetah</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199,409</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199,409</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5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Revenues from Super International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650,000</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76.5</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650,000</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59"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cost of revenues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849,409</w:t>
            </w:r>
          </w:p>
        </w:tc>
        <w:tc>
          <w:tcPr>
            <w:tcW w:w="34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100.00</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849,409</w:t>
            </w:r>
          </w:p>
        </w:tc>
        <w:tc>
          <w:tcPr>
            <w:tcW w:w="34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three months ended June 30, 2026, total cost of revenues increased to $849,409 from $nil for the same period in 2025, representing an increase of $849,409, or 100.0%. Cost of revenues attributable to Cheetah was $199,409, representing 23.48% of total cost of revenues in the second quarter of 2026, compared to $nil for the same period in 2025, representing an increase of $199,409, or 100.0%, consistent with the corresponding increase in revenue from Cheetah.</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Cost of revenues from Super International was $650,000, or 76.52% of total cost of revenues for the three months ended June 30, 2026, compared to $nil for the same period in 2025, representing an increase of $650,000, or 100.0%, consistent with the corresponding increase in revenue from Super International.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Cost of revenues was mainly labor costs for Cheetah and ocean freight service costs for Super International.</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40"/>
        <w:ind w:left="0" w:right="0" w:hanging="0"/>
        <w:jc w:val="both"/>
        <w:rPr/>
      </w:pPr>
      <w:r>
        <w:rPr/>
        <w:t>​</w:t>
      </w:r>
    </w:p>
    <w:tbl>
      <w:tblPr>
        <w:tblW w:w="8990" w:type="dxa"/>
        <w:jc w:val="left"/>
        <w:tblInd w:w="0" w:type="dxa"/>
        <w:tblLayout w:type="fixed"/>
        <w:tblCellMar>
          <w:top w:w="0" w:type="dxa"/>
          <w:left w:w="0" w:type="dxa"/>
          <w:bottom w:w="0" w:type="dxa"/>
          <w:right w:w="0" w:type="dxa"/>
        </w:tblCellMar>
      </w:tblPr>
      <w:tblGrid>
        <w:gridCol w:w="3646"/>
        <w:gridCol w:w="346"/>
        <w:gridCol w:w="266"/>
        <w:gridCol w:w="854"/>
        <w:gridCol w:w="437"/>
        <w:gridCol w:w="366"/>
        <w:gridCol w:w="609"/>
        <w:gridCol w:w="346"/>
        <w:gridCol w:w="211"/>
        <w:gridCol w:w="676"/>
        <w:gridCol w:w="346"/>
        <w:gridCol w:w="571"/>
        <w:gridCol w:w="316"/>
      </w:tblGrid>
      <w:tr>
        <w:trPr/>
        <w:tc>
          <w:tcPr>
            <w:tcW w:w="3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2315210" cy="175260"/>
                      <wp:effectExtent l="0" t="0" r="0" b="0"/>
                      <wp:wrapNone/>
                      <wp:docPr id="463" name="Frame463"/>
                      <a:graphic xmlns:a="http://schemas.openxmlformats.org/drawingml/2006/main">
                        <a:graphicData uri="http://schemas.microsoft.com/office/word/2010/wordprocessingShape">
                          <wps:wsp>
                            <wps:cNvSpPr txBox="1"/>
                            <wps:spPr>
                              <a:xfrm>
                                <a:off x="0" y="0"/>
                                <a:ext cx="2315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219710" cy="175260"/>
                      <wp:effectExtent l="0" t="0" r="0" b="0"/>
                      <wp:wrapNone/>
                      <wp:docPr id="464" name="Frame4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168910" cy="175260"/>
                      <wp:effectExtent l="0" t="0" r="0" b="0"/>
                      <wp:wrapNone/>
                      <wp:docPr id="465" name="Frame465"/>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542290" cy="175260"/>
                      <wp:effectExtent l="0" t="0" r="0" b="0"/>
                      <wp:wrapNone/>
                      <wp:docPr id="466" name="Frame466"/>
                      <a:graphic xmlns:a="http://schemas.openxmlformats.org/drawingml/2006/main">
                        <a:graphicData uri="http://schemas.microsoft.com/office/word/2010/wordprocessingShape">
                          <wps:wsp>
                            <wps:cNvSpPr txBox="1"/>
                            <wps:spPr>
                              <a:xfrm>
                                <a:off x="0" y="0"/>
                                <a:ext cx="542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277495" cy="175260"/>
                      <wp:effectExtent l="0" t="0" r="0" b="0"/>
                      <wp:wrapNone/>
                      <wp:docPr id="467" name="Frame467"/>
                      <a:graphic xmlns:a="http://schemas.openxmlformats.org/drawingml/2006/main">
                        <a:graphicData uri="http://schemas.microsoft.com/office/word/2010/wordprocessingShape">
                          <wps:wsp>
                            <wps:cNvSpPr txBox="1"/>
                            <wps:spPr>
                              <a:xfrm>
                                <a:off x="0" y="0"/>
                                <a:ext cx="277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232410" cy="175260"/>
                      <wp:effectExtent l="0" t="0" r="0" b="0"/>
                      <wp:wrapNone/>
                      <wp:docPr id="468" name="Frame468"/>
                      <a:graphic xmlns:a="http://schemas.openxmlformats.org/drawingml/2006/main">
                        <a:graphicData uri="http://schemas.microsoft.com/office/word/2010/wordprocessingShape">
                          <wps:wsp>
                            <wps:cNvSpPr txBox="1"/>
                            <wps:spPr>
                              <a:xfrm>
                                <a:off x="0" y="0"/>
                                <a:ext cx="232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386715" cy="175260"/>
                      <wp:effectExtent l="0" t="0" r="0" b="0"/>
                      <wp:wrapNone/>
                      <wp:docPr id="469" name="Frame469"/>
                      <a:graphic xmlns:a="http://schemas.openxmlformats.org/drawingml/2006/main">
                        <a:graphicData uri="http://schemas.microsoft.com/office/word/2010/wordprocessingShape">
                          <wps:wsp>
                            <wps:cNvSpPr txBox="1"/>
                            <wps:spPr>
                              <a:xfrm>
                                <a:off x="0" y="0"/>
                                <a:ext cx="386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219710" cy="175260"/>
                      <wp:effectExtent l="0" t="0" r="0" b="0"/>
                      <wp:wrapNone/>
                      <wp:docPr id="470" name="Frame4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133985" cy="175260"/>
                      <wp:effectExtent l="0" t="0" r="0" b="0"/>
                      <wp:wrapNone/>
                      <wp:docPr id="471" name="Frame4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429260" cy="175260"/>
                      <wp:effectExtent l="0" t="0" r="0" b="0"/>
                      <wp:wrapNone/>
                      <wp:docPr id="472" name="Frame47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219710" cy="175260"/>
                      <wp:effectExtent l="0" t="0" r="0" b="0"/>
                      <wp:wrapNone/>
                      <wp:docPr id="473" name="Frame4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362585" cy="175260"/>
                      <wp:effectExtent l="0" t="0" r="0" b="0"/>
                      <wp:wrapNone/>
                      <wp:docPr id="474" name="Frame47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200660" cy="175260"/>
                      <wp:effectExtent l="0" t="0" r="0" b="0"/>
                      <wp:wrapNone/>
                      <wp:docPr id="475" name="Frame47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53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c>
          <w:tcPr>
            <w:tcW w:w="346" w:type="dxa"/>
            <w:tcBorders/>
            <w:vAlign w:val="center"/>
          </w:tcPr>
          <w:p>
            <w:pPr>
              <w:pStyle w:val="TableContents"/>
              <w:bidi w:val="0"/>
              <w:spacing w:before="0" w:after="1"/>
              <w:ind w:left="0" w:right="0" w:hanging="0"/>
              <w:jc w:val="center"/>
              <w:rPr/>
            </w:pPr>
            <w:r>
              <w:rPr/>
              <w:t>​</w:t>
            </w:r>
          </w:p>
        </w:tc>
        <w:tc>
          <w:tcPr>
            <w:tcW w:w="180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1"/>
              <w:ind w:left="0" w:right="0" w:hanging="0"/>
              <w:jc w:val="center"/>
              <w:rPr/>
            </w:pPr>
            <w:r>
              <w:rPr/>
              <w:t> </w:t>
            </w:r>
          </w:p>
        </w:tc>
      </w:tr>
      <w:tr>
        <w:trPr/>
        <w:tc>
          <w:tcPr>
            <w:tcW w:w="36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37" w:type="dxa"/>
            <w:tcBorders/>
            <w:vAlign w:val="center"/>
          </w:tcPr>
          <w:p>
            <w:pPr>
              <w:pStyle w:val="TableContents"/>
              <w:bidi w:val="0"/>
              <w:spacing w:before="0" w:after="1"/>
              <w:ind w:left="0" w:right="0" w:hanging="0"/>
              <w:jc w:val="center"/>
              <w:rPr/>
            </w:pPr>
            <w:r>
              <w:rPr/>
              <w:t>​</w:t>
            </w:r>
          </w:p>
        </w:tc>
        <w:tc>
          <w:tcPr>
            <w:tcW w:w="9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1"/>
              <w:ind w:left="0" w:right="0" w:hanging="0"/>
              <w:jc w:val="center"/>
              <w:rPr/>
            </w:pPr>
            <w:r>
              <w:rPr/>
              <w:t> </w:t>
            </w:r>
          </w:p>
        </w:tc>
      </w:tr>
      <w:tr>
        <w:trPr/>
        <w:tc>
          <w:tcPr>
            <w:tcW w:w="36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437" w:type="dxa"/>
            <w:tcBorders/>
            <w:vAlign w:val="center"/>
          </w:tcPr>
          <w:p>
            <w:pPr>
              <w:pStyle w:val="TableContents"/>
              <w:bidi w:val="0"/>
              <w:spacing w:before="0" w:after="1"/>
              <w:ind w:left="0" w:right="0" w:hanging="0"/>
              <w:jc w:val="center"/>
              <w:rPr/>
            </w:pPr>
            <w:r>
              <w:rPr/>
              <w:t>  ​ ​ ​</w:t>
            </w:r>
          </w:p>
        </w:tc>
        <w:tc>
          <w:tcPr>
            <w:tcW w:w="9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1"/>
              <w:ind w:left="0" w:right="0" w:hanging="0"/>
              <w:jc w:val="center"/>
              <w:rPr/>
            </w:pPr>
            <w:r>
              <w:rPr/>
              <w:t>  ​ ​ ​</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57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 </w:t>
            </w:r>
          </w:p>
        </w:tc>
      </w:tr>
      <w:tr>
        <w:trPr/>
        <w:tc>
          <w:tcPr>
            <w:tcW w:w="36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General and Administrative Expenses</w:t>
            </w:r>
          </w:p>
        </w:tc>
        <w:tc>
          <w:tcPr>
            <w:tcW w:w="346" w:type="dxa"/>
            <w:tcBorders/>
            <w:shd w:fill="CCEEFF" w:val="clear"/>
            <w:vAlign w:val="center"/>
          </w:tcPr>
          <w:p>
            <w:pPr>
              <w:pStyle w:val="TableContents"/>
              <w:bidi w:val="0"/>
              <w:spacing w:before="0" w:after="1"/>
              <w:ind w:left="0" w:right="0" w:hanging="0"/>
              <w:jc w:val="left"/>
              <w:rPr/>
            </w:pPr>
            <w:r>
              <w:rPr/>
              <w:t> </w:t>
            </w:r>
          </w:p>
        </w:tc>
        <w:tc>
          <w:tcPr>
            <w:tcW w:w="266" w:type="dxa"/>
            <w:tcBorders/>
            <w:shd w:fill="CCEEFF" w:val="clear"/>
            <w:vAlign w:val="center"/>
          </w:tcPr>
          <w:p>
            <w:pPr>
              <w:pStyle w:val="TableContents"/>
              <w:bidi w:val="0"/>
              <w:spacing w:before="0" w:after="1"/>
              <w:ind w:left="0" w:right="0" w:hanging="0"/>
              <w:jc w:val="left"/>
              <w:rPr/>
            </w:pPr>
            <w:r>
              <w:rPr/>
              <w:t>​</w:t>
            </w:r>
          </w:p>
        </w:tc>
        <w:tc>
          <w:tcPr>
            <w:tcW w:w="854" w:type="dxa"/>
            <w:tcBorders/>
            <w:shd w:fill="CCEEFF" w:val="clear"/>
            <w:vAlign w:val="center"/>
          </w:tcPr>
          <w:p>
            <w:pPr>
              <w:pStyle w:val="TableContents"/>
              <w:bidi w:val="0"/>
              <w:spacing w:before="0" w:after="1"/>
              <w:ind w:left="0" w:right="0" w:hanging="0"/>
              <w:jc w:val="right"/>
              <w:rPr/>
            </w:pPr>
            <w:r>
              <w:rPr/>
              <w:t>  ​</w:t>
            </w:r>
          </w:p>
        </w:tc>
        <w:tc>
          <w:tcPr>
            <w:tcW w:w="437" w:type="dxa"/>
            <w:tcBorders/>
            <w:shd w:fill="CCEEFF" w:val="clear"/>
            <w:vAlign w:val="center"/>
          </w:tcPr>
          <w:p>
            <w:pPr>
              <w:pStyle w:val="TableContents"/>
              <w:bidi w:val="0"/>
              <w:spacing w:before="0" w:after="1"/>
              <w:ind w:left="0" w:right="0" w:hanging="0"/>
              <w:jc w:val="left"/>
              <w:rPr/>
            </w:pPr>
            <w:r>
              <w:rPr/>
              <w:t> </w:t>
            </w:r>
          </w:p>
        </w:tc>
        <w:tc>
          <w:tcPr>
            <w:tcW w:w="366" w:type="dxa"/>
            <w:tcBorders/>
            <w:shd w:fill="CCEEFF" w:val="clear"/>
            <w:vAlign w:val="center"/>
          </w:tcPr>
          <w:p>
            <w:pPr>
              <w:pStyle w:val="TableContents"/>
              <w:bidi w:val="0"/>
              <w:spacing w:before="0" w:after="1"/>
              <w:ind w:left="0" w:right="0" w:hanging="0"/>
              <w:jc w:val="left"/>
              <w:rPr/>
            </w:pPr>
            <w:r>
              <w:rPr/>
              <w:t>​</w:t>
            </w:r>
          </w:p>
        </w:tc>
        <w:tc>
          <w:tcPr>
            <w:tcW w:w="609"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6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vAlign w:val="center"/>
          </w:tcPr>
          <w:p>
            <w:pPr>
              <w:pStyle w:val="TableContents"/>
              <w:bidi w:val="0"/>
              <w:spacing w:before="0" w:after="1"/>
              <w:ind w:left="0" w:right="0" w:hanging="0"/>
              <w:jc w:val="left"/>
              <w:rPr/>
            </w:pPr>
            <w:r>
              <w:rPr/>
              <w:t>​</w:t>
            </w:r>
          </w:p>
        </w:tc>
        <w:tc>
          <w:tcPr>
            <w:tcW w:w="26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20,084</w:t>
            </w:r>
          </w:p>
        </w:tc>
        <w:tc>
          <w:tcPr>
            <w:tcW w:w="437" w:type="dxa"/>
            <w:tcBorders/>
            <w:vAlign w:val="center"/>
          </w:tcPr>
          <w:p>
            <w:pPr>
              <w:pStyle w:val="TableContents"/>
              <w:bidi w:val="0"/>
              <w:spacing w:before="0" w:after="1"/>
              <w:ind w:left="0" w:right="0" w:hanging="0"/>
              <w:jc w:val="left"/>
              <w:rPr/>
            </w:pPr>
            <w:r>
              <w:rPr/>
              <w:t>​</w:t>
            </w:r>
          </w:p>
        </w:tc>
        <w:tc>
          <w:tcPr>
            <w:tcW w:w="36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20,084</w:t>
            </w:r>
          </w:p>
        </w:tc>
        <w:tc>
          <w:tcPr>
            <w:tcW w:w="34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General and Administrative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20,084</w:t>
            </w:r>
          </w:p>
        </w:tc>
        <w:tc>
          <w:tcPr>
            <w:tcW w:w="437" w:type="dxa"/>
            <w:tcBorders/>
            <w:shd w:fill="CCEEFF" w:val="clear"/>
            <w:vAlign w:val="center"/>
          </w:tcPr>
          <w:p>
            <w:pPr>
              <w:pStyle w:val="TableContents"/>
              <w:bidi w:val="0"/>
              <w:spacing w:before="0" w:after="1"/>
              <w:ind w:left="0" w:right="0" w:hanging="0"/>
              <w:jc w:val="left"/>
              <w:rPr/>
            </w:pPr>
            <w:r>
              <w:rPr/>
              <w:t>​</w:t>
            </w:r>
          </w:p>
        </w:tc>
        <w:tc>
          <w:tcPr>
            <w:tcW w:w="36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20,084</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General and administrative expenses for the Company’s continuing operations - international trading segment increased by $20,084, or 100.0%, to $20,084 for the three months ended June 30, 2026 from $nil for the three months ended June 30, 2025. The increase was mainly due to the commencement of our international trading operations following the acquisition of Super International on May 27,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Continuing Operations - Corporate Unallocated Operating Adjustments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40"/>
        <w:ind w:left="0" w:right="0" w:hanging="0"/>
        <w:jc w:val="both"/>
        <w:rPr/>
      </w:pPr>
      <w:r>
        <w:rPr/>
        <w:t>​</w:t>
      </w:r>
    </w:p>
    <w:tbl>
      <w:tblPr>
        <w:tblW w:w="8923" w:type="dxa"/>
        <w:jc w:val="left"/>
        <w:tblInd w:w="0" w:type="dxa"/>
        <w:tblLayout w:type="fixed"/>
        <w:tblCellMar>
          <w:top w:w="0" w:type="dxa"/>
          <w:left w:w="0" w:type="dxa"/>
          <w:bottom w:w="0" w:type="dxa"/>
          <w:right w:w="0" w:type="dxa"/>
        </w:tblCellMar>
      </w:tblPr>
      <w:tblGrid>
        <w:gridCol w:w="3646"/>
        <w:gridCol w:w="346"/>
        <w:gridCol w:w="211"/>
        <w:gridCol w:w="781"/>
        <w:gridCol w:w="346"/>
        <w:gridCol w:w="211"/>
        <w:gridCol w:w="781"/>
        <w:gridCol w:w="346"/>
        <w:gridCol w:w="211"/>
        <w:gridCol w:w="796"/>
        <w:gridCol w:w="346"/>
        <w:gridCol w:w="586"/>
        <w:gridCol w:w="316"/>
      </w:tblGrid>
      <w:tr>
        <w:trPr/>
        <w:tc>
          <w:tcPr>
            <w:tcW w:w="3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2315210" cy="175260"/>
                      <wp:effectExtent l="0" t="0" r="0" b="0"/>
                      <wp:wrapNone/>
                      <wp:docPr id="476" name="Frame476"/>
                      <a:graphic xmlns:a="http://schemas.openxmlformats.org/drawingml/2006/main">
                        <a:graphicData uri="http://schemas.microsoft.com/office/word/2010/wordprocessingShape">
                          <wps:wsp>
                            <wps:cNvSpPr txBox="1"/>
                            <wps:spPr>
                              <a:xfrm>
                                <a:off x="0" y="0"/>
                                <a:ext cx="2315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219710" cy="175260"/>
                      <wp:effectExtent l="0" t="0" r="0" b="0"/>
                      <wp:wrapNone/>
                      <wp:docPr id="477" name="Frame4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133985" cy="175260"/>
                      <wp:effectExtent l="0" t="0" r="0" b="0"/>
                      <wp:wrapNone/>
                      <wp:docPr id="478" name="Frame4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495935" cy="175260"/>
                      <wp:effectExtent l="0" t="0" r="0" b="0"/>
                      <wp:wrapNone/>
                      <wp:docPr id="479" name="Frame47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219710" cy="175260"/>
                      <wp:effectExtent l="0" t="0" r="0" b="0"/>
                      <wp:wrapNone/>
                      <wp:docPr id="480" name="Frame4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133985" cy="175260"/>
                      <wp:effectExtent l="0" t="0" r="0" b="0"/>
                      <wp:wrapNone/>
                      <wp:docPr id="481" name="Frame4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495935" cy="175260"/>
                      <wp:effectExtent l="0" t="0" r="0" b="0"/>
                      <wp:wrapNone/>
                      <wp:docPr id="482" name="Frame48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219710" cy="175260"/>
                      <wp:effectExtent l="0" t="0" r="0" b="0"/>
                      <wp:wrapNone/>
                      <wp:docPr id="483" name="Frame4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133985" cy="175260"/>
                      <wp:effectExtent l="0" t="0" r="0" b="0"/>
                      <wp:wrapNone/>
                      <wp:docPr id="484" name="Frame4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505460" cy="175260"/>
                      <wp:effectExtent l="0" t="0" r="0" b="0"/>
                      <wp:wrapNone/>
                      <wp:docPr id="485" name="Frame48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219710" cy="175260"/>
                      <wp:effectExtent l="0" t="0" r="0" b="0"/>
                      <wp:wrapNone/>
                      <wp:docPr id="486" name="Frame4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372110" cy="175260"/>
                      <wp:effectExtent l="0" t="0" r="0" b="0"/>
                      <wp:wrapNone/>
                      <wp:docPr id="487" name="Frame487"/>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200660" cy="175260"/>
                      <wp:effectExtent l="0" t="0" r="0" b="0"/>
                      <wp:wrapNone/>
                      <wp:docPr id="488" name="Frame48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3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c>
          <w:tcPr>
            <w:tcW w:w="346" w:type="dxa"/>
            <w:tcBorders/>
            <w:vAlign w:val="center"/>
          </w:tcPr>
          <w:p>
            <w:pPr>
              <w:pStyle w:val="TableContents"/>
              <w:bidi w:val="0"/>
              <w:spacing w:before="0" w:after="1"/>
              <w:ind w:left="0" w:right="0" w:hanging="0"/>
              <w:jc w:val="center"/>
              <w:rPr/>
            </w:pPr>
            <w:r>
              <w:rPr/>
              <w:t>​</w:t>
            </w:r>
          </w:p>
        </w:tc>
        <w:tc>
          <w:tcPr>
            <w:tcW w:w="193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1"/>
              <w:ind w:left="0" w:right="0" w:hanging="0"/>
              <w:jc w:val="center"/>
              <w:rPr/>
            </w:pPr>
            <w:r>
              <w:rPr/>
              <w:t> </w:t>
            </w:r>
          </w:p>
        </w:tc>
      </w:tr>
      <w:tr>
        <w:trPr/>
        <w:tc>
          <w:tcPr>
            <w:tcW w:w="36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1"/>
              <w:ind w:left="0" w:right="0" w:hanging="0"/>
              <w:jc w:val="center"/>
              <w:rPr/>
            </w:pPr>
            <w:r>
              <w:rPr/>
              <w:t>​</w:t>
            </w:r>
          </w:p>
        </w:tc>
      </w:tr>
      <w:tr>
        <w:trPr/>
        <w:tc>
          <w:tcPr>
            <w:tcW w:w="36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1"/>
              <w:ind w:left="0" w:right="0" w:hanging="0"/>
              <w:jc w:val="center"/>
              <w:rPr/>
            </w:pPr>
            <w:r>
              <w:rPr/>
              <w:t>  ​ ​ ​</w:t>
            </w:r>
          </w:p>
        </w:tc>
        <w:tc>
          <w:tcPr>
            <w:tcW w:w="211"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586"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 </w:t>
            </w:r>
          </w:p>
        </w:tc>
      </w:tr>
      <w:tr>
        <w:trPr/>
        <w:tc>
          <w:tcPr>
            <w:tcW w:w="36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General and Administrative Expenses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6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Payroll and Benefits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192,532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282,821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(90,289)</w:t>
            </w:r>
          </w:p>
        </w:tc>
        <w:tc>
          <w:tcPr>
            <w:tcW w:w="346"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(31.9)</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Rental and Leases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132,123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162,099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(29,976)</w:t>
            </w:r>
          </w:p>
        </w:tc>
        <w:tc>
          <w:tcPr>
            <w:tcW w:w="346"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Travel and Entertainment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54,921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19,715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35,206</w:t>
            </w:r>
          </w:p>
        </w:tc>
        <w:tc>
          <w:tcPr>
            <w:tcW w:w="346"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178.6</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Legal and Accounting Fees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131,544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84,958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46,586</w:t>
            </w:r>
          </w:p>
        </w:tc>
        <w:tc>
          <w:tcPr>
            <w:tcW w:w="346"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54.8</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Insurance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48,124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68,313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(20,189)</w:t>
            </w:r>
          </w:p>
        </w:tc>
        <w:tc>
          <w:tcPr>
            <w:tcW w:w="346"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6,625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6,625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Recruiting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5,453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(3,931)</w:t>
            </w:r>
          </w:p>
        </w:tc>
        <w:tc>
          <w:tcPr>
            <w:tcW w:w="346"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(72.1)</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283,389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61,661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221,728</w:t>
            </w:r>
          </w:p>
        </w:tc>
        <w:tc>
          <w:tcPr>
            <w:tcW w:w="346" w:type="dxa"/>
            <w:tcBorders/>
            <w:shd w:fill="CCEEFF" w:val="clear"/>
            <w:vAlign w:val="center"/>
          </w:tcPr>
          <w:p>
            <w:pPr>
              <w:pStyle w:val="TableContents"/>
              <w:bidi w:val="0"/>
              <w:spacing w:before="0" w:after="1"/>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359.6</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General and Administrative Expenses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850,780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691,645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159,135</w:t>
            </w:r>
          </w:p>
        </w:tc>
        <w:tc>
          <w:tcPr>
            <w:tcW w:w="346" w:type="dxa"/>
            <w:tcBorders/>
            <w:vAlign w:val="center"/>
          </w:tcPr>
          <w:p>
            <w:pPr>
              <w:pStyle w:val="TableContents"/>
              <w:bidi w:val="0"/>
              <w:spacing w:before="0" w:after="1"/>
              <w:ind w:left="0" w:right="0" w:hanging="0"/>
              <w:jc w:val="left"/>
              <w:rPr/>
            </w:pPr>
            <w:r>
              <w:rPr/>
              <w:t> </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General and administrative expenses for the Company’s continuing operations- corporate unallocated operating adjustments segment increased by $159,135, or 23.0%, to $850,780 for the three months ended June 30, 2026 from $691,645 for the three months ended June 30, 2025. The increase was mainly due to (i) an increase of $221,728 of other administration expenses during the three months ended June 30, 2026, primarily due to consulting fee for disposal of Edward and acquisition of Super International, (ii) an increase of $46,586 of legal and accounting fees due to additional legal fees incurred in connection with the reverse stock split, (iii) an increase of $35,206 in travel and entertainment expenses as part of business development efforts and client engagement, partially offset by (iv) a decrease of $90,289 in payroll and benefits expense due to staff optimization and cost-saving measure, (v) a decrease of $29,976 in rental and leases, primarily due to the termination of one of the Company’s office leases, and (vi) a decrease of $20,189 in insurance expenses resulting from a change in our insurance provider.</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Share-based compensation expenses</w:t>
      </w:r>
    </w:p>
    <w:p>
      <w:pPr>
        <w:pStyle w:val="TextBody"/>
        <w:bidi w:val="0"/>
        <w:spacing w:before="0" w:after="0"/>
        <w:ind w:left="0" w:right="0" w:hanging="0"/>
        <w:jc w:val="both"/>
        <w:rPr/>
      </w:pPr>
      <w:r>
        <w:rPr/>
        <w:t>​</w:t>
      </w:r>
    </w:p>
    <w:tbl>
      <w:tblPr>
        <w:tblW w:w="9010" w:type="dxa"/>
        <w:jc w:val="left"/>
        <w:tblInd w:w="0" w:type="dxa"/>
        <w:tblLayout w:type="fixed"/>
        <w:tblCellMar>
          <w:top w:w="0" w:type="dxa"/>
          <w:left w:w="0" w:type="dxa"/>
          <w:bottom w:w="0" w:type="dxa"/>
          <w:right w:w="0" w:type="dxa"/>
        </w:tblCellMar>
      </w:tblPr>
      <w:tblGrid>
        <w:gridCol w:w="4081"/>
        <w:gridCol w:w="346"/>
        <w:gridCol w:w="232"/>
        <w:gridCol w:w="743"/>
        <w:gridCol w:w="377"/>
        <w:gridCol w:w="232"/>
        <w:gridCol w:w="743"/>
        <w:gridCol w:w="346"/>
        <w:gridCol w:w="211"/>
        <w:gridCol w:w="571"/>
        <w:gridCol w:w="346"/>
        <w:gridCol w:w="466"/>
        <w:gridCol w:w="316"/>
      </w:tblGrid>
      <w:tr>
        <w:trPr/>
        <w:tc>
          <w:tcPr>
            <w:tcW w:w="4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2591435" cy="175260"/>
                      <wp:effectExtent l="0" t="0" r="0" b="0"/>
                      <wp:wrapNone/>
                      <wp:docPr id="489" name="Frame489"/>
                      <a:graphic xmlns:a="http://schemas.openxmlformats.org/drawingml/2006/main">
                        <a:graphicData uri="http://schemas.microsoft.com/office/word/2010/wordprocessingShape">
                          <wps:wsp>
                            <wps:cNvSpPr txBox="1"/>
                            <wps:spPr>
                              <a:xfrm>
                                <a:off x="0" y="0"/>
                                <a:ext cx="2591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219710" cy="175260"/>
                      <wp:effectExtent l="0" t="0" r="0" b="0"/>
                      <wp:wrapNone/>
                      <wp:docPr id="490" name="Frame4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147320" cy="175260"/>
                      <wp:effectExtent l="0" t="0" r="0" b="0"/>
                      <wp:wrapNone/>
                      <wp:docPr id="491" name="Frame491"/>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471805" cy="175260"/>
                      <wp:effectExtent l="0" t="0" r="0" b="0"/>
                      <wp:wrapNone/>
                      <wp:docPr id="492" name="Frame492"/>
                      <a:graphic xmlns:a="http://schemas.openxmlformats.org/drawingml/2006/main">
                        <a:graphicData uri="http://schemas.microsoft.com/office/word/2010/wordprocessingShape">
                          <wps:wsp>
                            <wps:cNvSpPr txBox="1"/>
                            <wps:spPr>
                              <a:xfrm>
                                <a:off x="0" y="0"/>
                                <a:ext cx="471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239395" cy="175260"/>
                      <wp:effectExtent l="0" t="0" r="0" b="0"/>
                      <wp:wrapNone/>
                      <wp:docPr id="493" name="Frame493"/>
                      <a:graphic xmlns:a="http://schemas.openxmlformats.org/drawingml/2006/main">
                        <a:graphicData uri="http://schemas.microsoft.com/office/word/2010/wordprocessingShape">
                          <wps:wsp>
                            <wps:cNvSpPr txBox="1"/>
                            <wps:spPr>
                              <a:xfrm>
                                <a:off x="0" y="0"/>
                                <a:ext cx="239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147320" cy="175260"/>
                      <wp:effectExtent l="0" t="0" r="0" b="0"/>
                      <wp:wrapNone/>
                      <wp:docPr id="494" name="Frame494"/>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471805" cy="175260"/>
                      <wp:effectExtent l="0" t="0" r="0" b="0"/>
                      <wp:wrapNone/>
                      <wp:docPr id="495" name="Frame495"/>
                      <a:graphic xmlns:a="http://schemas.openxmlformats.org/drawingml/2006/main">
                        <a:graphicData uri="http://schemas.microsoft.com/office/word/2010/wordprocessingShape">
                          <wps:wsp>
                            <wps:cNvSpPr txBox="1"/>
                            <wps:spPr>
                              <a:xfrm>
                                <a:off x="0" y="0"/>
                                <a:ext cx="471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219710" cy="175260"/>
                      <wp:effectExtent l="0" t="0" r="0" b="0"/>
                      <wp:wrapNone/>
                      <wp:docPr id="496" name="Frame4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133985" cy="175260"/>
                      <wp:effectExtent l="0" t="0" r="0" b="0"/>
                      <wp:wrapNone/>
                      <wp:docPr id="497" name="Frame4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362585" cy="175260"/>
                      <wp:effectExtent l="0" t="0" r="0" b="0"/>
                      <wp:wrapNone/>
                      <wp:docPr id="498" name="Frame49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219710" cy="175260"/>
                      <wp:effectExtent l="0" t="0" r="0" b="0"/>
                      <wp:wrapNone/>
                      <wp:docPr id="499" name="Frame4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295910" cy="175260"/>
                      <wp:effectExtent l="0" t="0" r="0" b="0"/>
                      <wp:wrapNone/>
                      <wp:docPr id="500" name="Frame500"/>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200660" cy="175260"/>
                      <wp:effectExtent l="0" t="0" r="0" b="0"/>
                      <wp:wrapNone/>
                      <wp:docPr id="501" name="Frame50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2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0"/>
              <w:ind w:left="0" w:right="0" w:hanging="0"/>
              <w:jc w:val="center"/>
              <w:rPr/>
            </w:pPr>
            <w:r>
              <w:rPr/>
              <w:t>​</w:t>
            </w:r>
          </w:p>
        </w:tc>
        <w:tc>
          <w:tcPr>
            <w:tcW w:w="159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0"/>
              <w:ind w:left="0" w:right="0" w:hanging="0"/>
              <w:jc w:val="center"/>
              <w:rPr/>
            </w:pPr>
            <w:r>
              <w:rPr/>
              <w:t> </w:t>
            </w:r>
          </w:p>
        </w:tc>
      </w:tr>
      <w:tr>
        <w:trPr/>
        <w:tc>
          <w:tcPr>
            <w:tcW w:w="4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77" w:type="dxa"/>
            <w:tcBorders/>
            <w:vAlign w:val="center"/>
          </w:tcPr>
          <w:p>
            <w:pPr>
              <w:pStyle w:val="TableContents"/>
              <w:bidi w:val="0"/>
              <w:spacing w:before="0" w:after="0"/>
              <w:ind w:left="0" w:right="0" w:hanging="0"/>
              <w:jc w:val="center"/>
              <w:rPr/>
            </w:pPr>
            <w:r>
              <w:rPr/>
              <w:t>  ​ ​ ​</w:t>
            </w:r>
          </w:p>
        </w:tc>
        <w:tc>
          <w:tcPr>
            <w:tcW w:w="9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0"/>
              <w:ind w:left="0" w:right="0" w:hanging="0"/>
              <w:jc w:val="center"/>
              <w:rPr/>
            </w:pPr>
            <w:r>
              <w:rPr/>
              <w:t> </w:t>
            </w:r>
          </w:p>
        </w:tc>
      </w:tr>
      <w:tr>
        <w:trPr/>
        <w:tc>
          <w:tcPr>
            <w:tcW w:w="4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77" w:type="dxa"/>
            <w:tcBorders/>
            <w:vAlign w:val="center"/>
          </w:tcPr>
          <w:p>
            <w:pPr>
              <w:pStyle w:val="TableContents"/>
              <w:bidi w:val="0"/>
              <w:spacing w:before="0" w:after="0"/>
              <w:ind w:left="0" w:right="0" w:hanging="0"/>
              <w:jc w:val="center"/>
              <w:rPr/>
            </w:pPr>
            <w:r>
              <w:rPr/>
              <w:t>​</w:t>
            </w:r>
          </w:p>
        </w:tc>
        <w:tc>
          <w:tcPr>
            <w:tcW w:w="9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40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(Unaudited) Share-based compensation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14,182</w:t>
            </w:r>
          </w:p>
        </w:tc>
        <w:tc>
          <w:tcPr>
            <w:tcW w:w="377" w:type="dxa"/>
            <w:tcBorders/>
            <w:shd w:fill="CCEEFF" w:val="clear"/>
            <w:vAlign w:val="center"/>
          </w:tcPr>
          <w:p>
            <w:pPr>
              <w:pStyle w:val="TableContents"/>
              <w:bidi w:val="0"/>
              <w:spacing w:before="0" w:after="0"/>
              <w:ind w:left="0" w:right="0" w:hanging="0"/>
              <w:jc w:val="left"/>
              <w:rPr/>
            </w:pPr>
            <w:r>
              <w:rPr/>
              <w:t>​</w:t>
            </w:r>
          </w:p>
        </w:tc>
        <w:tc>
          <w:tcPr>
            <w:tcW w:w="232"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3,738</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Share-based compensation expenses were $14,182 and $10,444 for the three months ended June 30, 2026 and 2025, respectively, representing an increase of $3,738, or 35.8%.</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See also Note 12 – Stock Based Compensation for more details in our Consolidated Financial Statements included in this quarterly report.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Other Income (Expenses), net</w:t>
      </w:r>
    </w:p>
    <w:p>
      <w:pPr>
        <w:pStyle w:val="TextBody"/>
        <w:bidi w:val="0"/>
        <w:spacing w:before="0" w:after="0"/>
        <w:ind w:left="0" w:right="0" w:hanging="0"/>
        <w:jc w:val="both"/>
        <w:rPr/>
      </w:pPr>
      <w:r>
        <w:rPr/>
        <w:t>​</w:t>
      </w:r>
    </w:p>
    <w:tbl>
      <w:tblPr>
        <w:tblW w:w="8218" w:type="dxa"/>
        <w:jc w:val="left"/>
        <w:tblInd w:w="0" w:type="dxa"/>
        <w:tblLayout w:type="fixed"/>
        <w:tblCellMar>
          <w:top w:w="0" w:type="dxa"/>
          <w:left w:w="0" w:type="dxa"/>
          <w:bottom w:w="0" w:type="dxa"/>
          <w:right w:w="0" w:type="dxa"/>
        </w:tblCellMar>
      </w:tblPr>
      <w:tblGrid>
        <w:gridCol w:w="2581"/>
        <w:gridCol w:w="346"/>
        <w:gridCol w:w="211"/>
        <w:gridCol w:w="901"/>
        <w:gridCol w:w="346"/>
        <w:gridCol w:w="211"/>
        <w:gridCol w:w="781"/>
        <w:gridCol w:w="346"/>
        <w:gridCol w:w="211"/>
        <w:gridCol w:w="901"/>
        <w:gridCol w:w="346"/>
        <w:gridCol w:w="721"/>
        <w:gridCol w:w="316"/>
      </w:tblGrid>
      <w:tr>
        <w:trPr/>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1638935" cy="175260"/>
                      <wp:effectExtent l="0" t="0" r="0" b="0"/>
                      <wp:wrapNone/>
                      <wp:docPr id="502" name="Frame502"/>
                      <a:graphic xmlns:a="http://schemas.openxmlformats.org/drawingml/2006/main">
                        <a:graphicData uri="http://schemas.microsoft.com/office/word/2010/wordprocessingShape">
                          <wps:wsp>
                            <wps:cNvSpPr txBox="1"/>
                            <wps:spPr>
                              <a:xfrm>
                                <a:off x="0" y="0"/>
                                <a:ext cx="1638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219710" cy="175260"/>
                      <wp:effectExtent l="0" t="0" r="0" b="0"/>
                      <wp:wrapNone/>
                      <wp:docPr id="503" name="Frame5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133985" cy="175260"/>
                      <wp:effectExtent l="0" t="0" r="0" b="0"/>
                      <wp:wrapNone/>
                      <wp:docPr id="504" name="Frame5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572135" cy="175260"/>
                      <wp:effectExtent l="0" t="0" r="0" b="0"/>
                      <wp:wrapNone/>
                      <wp:docPr id="505" name="Frame505"/>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219710" cy="175260"/>
                      <wp:effectExtent l="0" t="0" r="0" b="0"/>
                      <wp:wrapNone/>
                      <wp:docPr id="506" name="Frame5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133985" cy="175260"/>
                      <wp:effectExtent l="0" t="0" r="0" b="0"/>
                      <wp:wrapNone/>
                      <wp:docPr id="507" name="Frame5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495935" cy="175260"/>
                      <wp:effectExtent l="0" t="0" r="0" b="0"/>
                      <wp:wrapNone/>
                      <wp:docPr id="508" name="Frame50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219710" cy="175260"/>
                      <wp:effectExtent l="0" t="0" r="0" b="0"/>
                      <wp:wrapNone/>
                      <wp:docPr id="509" name="Frame5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133985" cy="175260"/>
                      <wp:effectExtent l="0" t="0" r="0" b="0"/>
                      <wp:wrapNone/>
                      <wp:docPr id="510" name="Frame5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572135" cy="175260"/>
                      <wp:effectExtent l="0" t="0" r="0" b="0"/>
                      <wp:wrapNone/>
                      <wp:docPr id="511" name="Frame511"/>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219710" cy="175260"/>
                      <wp:effectExtent l="0" t="0" r="0" b="0"/>
                      <wp:wrapNone/>
                      <wp:docPr id="512" name="Frame5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457835" cy="175260"/>
                      <wp:effectExtent l="0" t="0" r="0" b="0"/>
                      <wp:wrapNone/>
                      <wp:docPr id="513" name="Frame513"/>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200660" cy="175260"/>
                      <wp:effectExtent l="0" t="0" r="0" b="0"/>
                      <wp:wrapNone/>
                      <wp:docPr id="514" name="Frame51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4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0"/>
              <w:ind w:left="0" w:right="0" w:hanging="0"/>
              <w:jc w:val="left"/>
              <w:rPr/>
            </w:pPr>
            <w:r>
              <w:rPr/>
              <w:t>​</w:t>
            </w:r>
          </w:p>
        </w:tc>
        <w:tc>
          <w:tcPr>
            <w:tcW w:w="217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0"/>
              <w:ind w:left="0" w:right="0" w:hanging="0"/>
              <w:jc w:val="left"/>
              <w:rPr/>
            </w:pPr>
            <w:r>
              <w:rPr/>
              <w:t> </w:t>
            </w:r>
          </w:p>
        </w:tc>
      </w:tr>
      <w:tr>
        <w:trPr/>
        <w:tc>
          <w:tcPr>
            <w:tcW w:w="25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0"/>
              <w:ind w:left="0" w:right="0" w:hanging="0"/>
              <w:jc w:val="left"/>
              <w:rPr/>
            </w:pPr>
            <w:r>
              <w:rPr/>
              <w:t> </w:t>
            </w:r>
          </w:p>
        </w:tc>
      </w:tr>
      <w:tr>
        <w:trPr/>
        <w:tc>
          <w:tcPr>
            <w:tcW w:w="25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left"/>
              <w:rPr/>
            </w:pPr>
            <w:r>
              <w:rPr/>
              <w:t>​</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264,695</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272,228</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(7,533)</w:t>
            </w:r>
          </w:p>
        </w:tc>
        <w:tc>
          <w:tcPr>
            <w:tcW w:w="346"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2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expenses:</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 Interest expense</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(6,255)</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(6,736)</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w:t>
            </w:r>
          </w:p>
        </w:tc>
        <w:tc>
          <w:tcPr>
            <w:tcW w:w="346" w:type="dxa"/>
            <w:tcBorders/>
            <w:vAlign w:val="center"/>
          </w:tcPr>
          <w:p>
            <w:pPr>
              <w:pStyle w:val="TableContents"/>
              <w:bidi w:val="0"/>
              <w:spacing w:before="0" w:after="0"/>
              <w:ind w:left="0" w:right="0" w:hanging="0"/>
              <w:jc w:val="righ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Credit Card Interest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w:t>
            </w:r>
          </w:p>
        </w:tc>
        <w:tc>
          <w:tcPr>
            <w:tcW w:w="346"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Premium Finance Interest</w:t>
            </w:r>
          </w:p>
        </w:tc>
        <w:tc>
          <w:tcPr>
            <w:tcW w:w="346"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(862)</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w:t>
            </w:r>
          </w:p>
        </w:tc>
        <w:tc>
          <w:tcPr>
            <w:tcW w:w="346" w:type="dxa"/>
            <w:tcBorders/>
            <w:vAlign w:val="center"/>
          </w:tcPr>
          <w:p>
            <w:pPr>
              <w:pStyle w:val="TableContents"/>
              <w:bidi w:val="0"/>
              <w:spacing w:before="0" w:after="0"/>
              <w:ind w:left="0" w:right="0" w:hanging="0"/>
              <w:jc w:val="righ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Interest expenses</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(6,799)</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(8,060)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(1,261)</w:t>
            </w:r>
          </w:p>
        </w:tc>
        <w:tc>
          <w:tcPr>
            <w:tcW w:w="346" w:type="dxa"/>
            <w:tcBorders/>
            <w:shd w:fill="CCEEFF" w:val="clear"/>
            <w:vAlign w:val="center"/>
          </w:tcPr>
          <w:p>
            <w:pPr>
              <w:pStyle w:val="TableContents"/>
              <w:bidi w:val="0"/>
              <w:spacing w:before="0" w:after="0"/>
              <w:ind w:left="0" w:right="0" w:hanging="0"/>
              <w:jc w:val="righ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993,766</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17,140</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976,626</w:t>
            </w:r>
          </w:p>
        </w:tc>
        <w:tc>
          <w:tcPr>
            <w:tcW w:w="346" w:type="dxa"/>
            <w:tcBorders/>
            <w:vAlign w:val="center"/>
          </w:tcPr>
          <w:p>
            <w:pPr>
              <w:pStyle w:val="TableContents"/>
              <w:bidi w:val="0"/>
              <w:spacing w:before="0" w:after="0"/>
              <w:ind w:left="0" w:right="0" w:hanging="0"/>
              <w:jc w:val="righ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5,697.9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(loss) on disposal of ETE</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(297,610)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(297,610)</w:t>
            </w:r>
          </w:p>
        </w:tc>
        <w:tc>
          <w:tcPr>
            <w:tcW w:w="346"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income, net</w:t>
            </w:r>
          </w:p>
        </w:tc>
        <w:tc>
          <w:tcPr>
            <w:tcW w:w="346" w:type="dxa"/>
            <w:tcBorders/>
            <w:vAlign w:val="center"/>
          </w:tcPr>
          <w:p>
            <w:pPr>
              <w:pStyle w:val="TableContents"/>
              <w:bidi w:val="0"/>
              <w:spacing w:before="0" w:after="0"/>
              <w:ind w:left="0" w:right="0" w:hanging="0"/>
              <w:jc w:val="center"/>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954,052</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281,308</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672,744</w:t>
            </w:r>
          </w:p>
        </w:tc>
        <w:tc>
          <w:tcPr>
            <w:tcW w:w="346" w:type="dxa"/>
            <w:tcBorders/>
            <w:vAlign w:val="center"/>
          </w:tcPr>
          <w:p>
            <w:pPr>
              <w:pStyle w:val="TableContents"/>
              <w:bidi w:val="0"/>
              <w:spacing w:before="0" w:after="0"/>
              <w:ind w:left="0" w:right="0" w:hanging="0"/>
              <w:jc w:val="right"/>
              <w:rPr/>
            </w:pPr>
            <w:r>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239.1</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Interest income from continuing operations was $264,695 for the three months ended June 30, 2026, compared to $272,228 for the three months ended June 30, 2025, representing a decrease of $7,533 or 2.8%. The decrease was primarily due to a reduction in average outstanding loan balances as certain borrowers repaid a portion of their loans, resulting in lower interest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Interest expense incurred from our continuing operations was $6,799 for the three months ended June 30, 2026, which decreased by $1,261, or 15.6%, from $8,060 for the three months ended June 30, 2025, mainly due to lower interest incurred on premium finance arrangements.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Other income, net from continuing operations was $993,766 for the three months ended June 30, 2026, compared to $17,140 for the three months ended June 30, 2025, representing an increase of $976,626 or 5,697.9%. The increase was primarily driven by higher foreign exchange gains resulting from currency rate fluctuations.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Income Tax (Benefits)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income tax provision for continuing operations was $1,210 for the three months ended June 30, 2026, compared with income tax provision of approximately $12,987 for the same period in 2025.</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Net Loss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a result of the above factors, we had a net income of $71,045 from our continuing operations for the three months ended June 30, 2026, compared to a net loss of $512,528 for the same period of 2025.</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Discontinued Operations -Parallel- Import vehicle Business </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As disclosed in Note 6 – Discontinued Operations, our Board approved the discontinuation of our parallel-import vehicle business on March 3, 2025. The Company fully exited its parallel-import vehicle business during the year ended December 31, 2024. The Company did not generate any income or incur any expenses from discontinued operations for the three months ended June 30,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Comparison of the Six Months Ended June 30, 2026 and 2025</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Continuing Operations-Logistics and Warehousing Services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Revenues</w:t>
      </w:r>
    </w:p>
    <w:tbl>
      <w:tblPr>
        <w:tblW w:w="9227" w:type="dxa"/>
        <w:jc w:val="left"/>
        <w:tblInd w:w="0" w:type="dxa"/>
        <w:tblLayout w:type="fixed"/>
        <w:tblCellMar>
          <w:top w:w="0" w:type="dxa"/>
          <w:left w:w="0" w:type="dxa"/>
          <w:bottom w:w="0" w:type="dxa"/>
          <w:right w:w="0" w:type="dxa"/>
        </w:tblCellMar>
      </w:tblPr>
      <w:tblGrid>
        <w:gridCol w:w="1996"/>
        <w:gridCol w:w="346"/>
        <w:gridCol w:w="211"/>
        <w:gridCol w:w="676"/>
        <w:gridCol w:w="346"/>
        <w:gridCol w:w="571"/>
        <w:gridCol w:w="391"/>
        <w:gridCol w:w="211"/>
        <w:gridCol w:w="781"/>
        <w:gridCol w:w="346"/>
        <w:gridCol w:w="571"/>
        <w:gridCol w:w="391"/>
        <w:gridCol w:w="211"/>
        <w:gridCol w:w="901"/>
        <w:gridCol w:w="346"/>
        <w:gridCol w:w="586"/>
        <w:gridCol w:w="346"/>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1267460" cy="175260"/>
                      <wp:effectExtent l="0" t="0" r="0" b="0"/>
                      <wp:wrapNone/>
                      <wp:docPr id="515" name="Frame515"/>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219710" cy="175260"/>
                      <wp:effectExtent l="0" t="0" r="0" b="0"/>
                      <wp:wrapNone/>
                      <wp:docPr id="516" name="Frame5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133985" cy="175260"/>
                      <wp:effectExtent l="0" t="0" r="0" b="0"/>
                      <wp:wrapNone/>
                      <wp:docPr id="517" name="Frame5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429260" cy="175260"/>
                      <wp:effectExtent l="0" t="0" r="0" b="0"/>
                      <wp:wrapNone/>
                      <wp:docPr id="518" name="Frame51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219710" cy="175260"/>
                      <wp:effectExtent l="0" t="0" r="0" b="0"/>
                      <wp:wrapNone/>
                      <wp:docPr id="519" name="Frame5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362585" cy="175260"/>
                      <wp:effectExtent l="0" t="0" r="0" b="0"/>
                      <wp:wrapNone/>
                      <wp:docPr id="520" name="Frame52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248285" cy="175260"/>
                      <wp:effectExtent l="0" t="0" r="0" b="0"/>
                      <wp:wrapNone/>
                      <wp:docPr id="521" name="Frame521"/>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133985" cy="175260"/>
                      <wp:effectExtent l="0" t="0" r="0" b="0"/>
                      <wp:wrapNone/>
                      <wp:docPr id="522" name="Frame5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495935" cy="175260"/>
                      <wp:effectExtent l="0" t="0" r="0" b="0"/>
                      <wp:wrapNone/>
                      <wp:docPr id="523" name="Frame52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219710" cy="175260"/>
                      <wp:effectExtent l="0" t="0" r="0" b="0"/>
                      <wp:wrapNone/>
                      <wp:docPr id="524" name="Frame5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362585" cy="175260"/>
                      <wp:effectExtent l="0" t="0" r="0" b="0"/>
                      <wp:wrapNone/>
                      <wp:docPr id="525" name="Frame52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248285" cy="175260"/>
                      <wp:effectExtent l="0" t="0" r="0" b="0"/>
                      <wp:wrapNone/>
                      <wp:docPr id="526" name="Frame526"/>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133985" cy="175260"/>
                      <wp:effectExtent l="0" t="0" r="0" b="0"/>
                      <wp:wrapNone/>
                      <wp:docPr id="527" name="Frame5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572135" cy="175260"/>
                      <wp:effectExtent l="0" t="0" r="0" b="0"/>
                      <wp:wrapNone/>
                      <wp:docPr id="528" name="Frame528"/>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219710" cy="175260"/>
                      <wp:effectExtent l="0" t="0" r="0" b="0"/>
                      <wp:wrapNone/>
                      <wp:docPr id="529" name="Frame5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372110" cy="175260"/>
                      <wp:effectExtent l="0" t="0" r="0" b="0"/>
                      <wp:wrapNone/>
                      <wp:docPr id="530" name="Frame530"/>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219710" cy="175260"/>
                      <wp:effectExtent l="0" t="0" r="0" b="0"/>
                      <wp:wrapNone/>
                      <wp:docPr id="531" name="Frame5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104"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w:t>
            </w:r>
          </w:p>
        </w:tc>
        <w:tc>
          <w:tcPr>
            <w:tcW w:w="391" w:type="dxa"/>
            <w:tcBorders/>
            <w:vAlign w:val="center"/>
          </w:tcPr>
          <w:p>
            <w:pPr>
              <w:pStyle w:val="TableContents"/>
              <w:bidi w:val="0"/>
              <w:spacing w:before="0" w:after="1"/>
              <w:ind w:left="0" w:right="0" w:hanging="0"/>
              <w:jc w:val="left"/>
              <w:rPr/>
            </w:pPr>
            <w:r>
              <w:rPr/>
              <w:t>​</w:t>
            </w:r>
          </w:p>
        </w:tc>
        <w:tc>
          <w:tcPr>
            <w:tcW w:w="204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1"/>
              <w:ind w:left="0" w:right="0" w:hanging="0"/>
              <w:jc w:val="center"/>
              <w:rPr/>
            </w:pPr>
            <w:r>
              <w:rPr/>
              <w:t> </w:t>
            </w:r>
          </w:p>
        </w:tc>
      </w:tr>
      <w:tr>
        <w:trPr/>
        <w:tc>
          <w:tcPr>
            <w:tcW w:w="19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80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91" w:type="dxa"/>
            <w:tcBorders/>
            <w:vAlign w:val="center"/>
          </w:tcPr>
          <w:p>
            <w:pPr>
              <w:pStyle w:val="TableContents"/>
              <w:bidi w:val="0"/>
              <w:spacing w:before="0" w:after="1"/>
              <w:ind w:left="0" w:right="0" w:hanging="0"/>
              <w:jc w:val="left"/>
              <w:rPr/>
            </w:pPr>
            <w:r>
              <w:rPr/>
              <w:t>​</w:t>
            </w:r>
          </w:p>
        </w:tc>
        <w:tc>
          <w:tcPr>
            <w:tcW w:w="190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1"/>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center"/>
              <w:rPr/>
            </w:pPr>
            <w:r>
              <w:rPr/>
              <w:t> </w:t>
            </w:r>
          </w:p>
        </w:tc>
      </w:tr>
      <w:tr>
        <w:trPr/>
        <w:tc>
          <w:tcPr>
            <w:tcW w:w="19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USD</w:t>
            </w:r>
          </w:p>
        </w:tc>
        <w:tc>
          <w:tcPr>
            <w:tcW w:w="346" w:type="dxa"/>
            <w:tcBorders/>
            <w:vAlign w:val="center"/>
          </w:tcPr>
          <w:p>
            <w:pPr>
              <w:pStyle w:val="TableContents"/>
              <w:bidi w:val="0"/>
              <w:spacing w:before="0" w:after="1"/>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391"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USD</w:t>
            </w:r>
          </w:p>
        </w:tc>
        <w:tc>
          <w:tcPr>
            <w:tcW w:w="346" w:type="dxa"/>
            <w:tcBorders/>
            <w:vAlign w:val="center"/>
          </w:tcPr>
          <w:p>
            <w:pPr>
              <w:pStyle w:val="TableContents"/>
              <w:bidi w:val="0"/>
              <w:spacing w:before="0" w:after="1"/>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391" w:type="dxa"/>
            <w:tcBorders/>
            <w:vAlign w:val="center"/>
          </w:tcPr>
          <w:p>
            <w:pPr>
              <w:pStyle w:val="TableContents"/>
              <w:bidi w:val="0"/>
              <w:spacing w:before="0" w:after="1"/>
              <w:ind w:left="0" w:right="0" w:hanging="0"/>
              <w:jc w:val="left"/>
              <w:rPr/>
            </w:pPr>
            <w:r>
              <w:rPr/>
              <w:t>  ​ ​ ​</w:t>
            </w:r>
          </w:p>
        </w:tc>
        <w:tc>
          <w:tcPr>
            <w:tcW w:w="211" w:type="dxa"/>
            <w:tcBorders/>
            <w:vAlign w:val="center"/>
          </w:tcPr>
          <w:p>
            <w:pPr>
              <w:pStyle w:val="TableContents"/>
              <w:bidi w:val="0"/>
              <w:spacing w:before="0" w:after="1"/>
              <w:ind w:left="0" w:right="0" w:hanging="0"/>
              <w:jc w:val="center"/>
              <w:rPr/>
            </w:pPr>
            <w:r>
              <w:rPr/>
              <w:t>​</w:t>
            </w:r>
          </w:p>
        </w:tc>
        <w:tc>
          <w:tcPr>
            <w:tcW w:w="9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5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 from Edward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39,700</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42.8</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righ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115,199</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(75,499)</w:t>
            </w:r>
          </w:p>
        </w:tc>
        <w:tc>
          <w:tcPr>
            <w:tcW w:w="346"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(65.5)</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 from TWEW</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53,000</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57.2</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718,726</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86.2</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(665,726)</w:t>
            </w:r>
          </w:p>
        </w:tc>
        <w:tc>
          <w:tcPr>
            <w:tcW w:w="346" w:type="dxa"/>
            <w:tcBorders/>
            <w:shd w:fill="CCEEFF" w:val="clear"/>
            <w:vAlign w:val="center"/>
          </w:tcPr>
          <w:p>
            <w:pPr>
              <w:pStyle w:val="TableContents"/>
              <w:bidi w:val="0"/>
              <w:spacing w:before="0" w:after="1"/>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(92.6)</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92,700</w:t>
            </w:r>
          </w:p>
        </w:tc>
        <w:tc>
          <w:tcPr>
            <w:tcW w:w="34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833,925</w:t>
            </w:r>
          </w:p>
        </w:tc>
        <w:tc>
          <w:tcPr>
            <w:tcW w:w="34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(741,225)</w:t>
            </w:r>
          </w:p>
        </w:tc>
        <w:tc>
          <w:tcPr>
            <w:tcW w:w="346" w:type="dxa"/>
            <w:tcBorders/>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(88.9)</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six months ended June 30, 2026, we reported revenue of $92,700 from logistics and warehousing services segment, including $39,700, or 42.8%, of our total revenue from Edward, which we acquired in February 2024, and $53,000, or 57.2%, of our total revenue from TWEW, which we acquired in December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Revenue from Edward decreased by 65.5% to $39,700 for the six months ended June 30, 2026, compared to $115,199 for the same period in 2025. The decrease was primarily due to the disposal of Edward.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Revenue from TWEW decreased by 92.6% to $53,000 for the six months ended June 30, 2026, compared to $718,726 for the same period in 2025, primarily due to tighter U.S. immigration policies, which increased labor costs and constrained labor availability, as well as unfavorable market conditions that reduced customer demand in the logistics and warehousing industries.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Cost of Revenues</w:t>
      </w:r>
    </w:p>
    <w:tbl>
      <w:tblPr>
        <w:tblW w:w="9857" w:type="dxa"/>
        <w:jc w:val="left"/>
        <w:tblInd w:w="0" w:type="dxa"/>
        <w:tblLayout w:type="fixed"/>
        <w:tblCellMar>
          <w:top w:w="0" w:type="dxa"/>
          <w:left w:w="0" w:type="dxa"/>
          <w:bottom w:w="0" w:type="dxa"/>
          <w:right w:w="0" w:type="dxa"/>
        </w:tblCellMar>
      </w:tblPr>
      <w:tblGrid>
        <w:gridCol w:w="2626"/>
        <w:gridCol w:w="346"/>
        <w:gridCol w:w="211"/>
        <w:gridCol w:w="676"/>
        <w:gridCol w:w="346"/>
        <w:gridCol w:w="571"/>
        <w:gridCol w:w="391"/>
        <w:gridCol w:w="211"/>
        <w:gridCol w:w="781"/>
        <w:gridCol w:w="346"/>
        <w:gridCol w:w="571"/>
        <w:gridCol w:w="391"/>
        <w:gridCol w:w="211"/>
        <w:gridCol w:w="901"/>
        <w:gridCol w:w="346"/>
        <w:gridCol w:w="586"/>
        <w:gridCol w:w="346"/>
      </w:tblGrid>
      <w:tr>
        <w:trPr/>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1667510" cy="175260"/>
                      <wp:effectExtent l="0" t="0" r="0" b="0"/>
                      <wp:wrapNone/>
                      <wp:docPr id="532" name="Frame532"/>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219710" cy="175260"/>
                      <wp:effectExtent l="0" t="0" r="0" b="0"/>
                      <wp:wrapNone/>
                      <wp:docPr id="533" name="Frame5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133985" cy="175260"/>
                      <wp:effectExtent l="0" t="0" r="0" b="0"/>
                      <wp:wrapNone/>
                      <wp:docPr id="534" name="Frame5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429260" cy="175260"/>
                      <wp:effectExtent l="0" t="0" r="0" b="0"/>
                      <wp:wrapNone/>
                      <wp:docPr id="535" name="Frame53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219710" cy="175260"/>
                      <wp:effectExtent l="0" t="0" r="0" b="0"/>
                      <wp:wrapNone/>
                      <wp:docPr id="536" name="Frame5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362585" cy="175260"/>
                      <wp:effectExtent l="0" t="0" r="0" b="0"/>
                      <wp:wrapNone/>
                      <wp:docPr id="537" name="Frame53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248285" cy="175260"/>
                      <wp:effectExtent l="0" t="0" r="0" b="0"/>
                      <wp:wrapNone/>
                      <wp:docPr id="538" name="Frame538"/>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133985" cy="175260"/>
                      <wp:effectExtent l="0" t="0" r="0" b="0"/>
                      <wp:wrapNone/>
                      <wp:docPr id="539" name="Frame5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495935" cy="175260"/>
                      <wp:effectExtent l="0" t="0" r="0" b="0"/>
                      <wp:wrapNone/>
                      <wp:docPr id="540" name="Frame54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219710" cy="175260"/>
                      <wp:effectExtent l="0" t="0" r="0" b="0"/>
                      <wp:wrapNone/>
                      <wp:docPr id="541" name="Frame5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362585" cy="175260"/>
                      <wp:effectExtent l="0" t="0" r="0" b="0"/>
                      <wp:wrapNone/>
                      <wp:docPr id="542" name="Frame54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248285" cy="175260"/>
                      <wp:effectExtent l="0" t="0" r="0" b="0"/>
                      <wp:wrapNone/>
                      <wp:docPr id="543" name="Frame543"/>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133985" cy="175260"/>
                      <wp:effectExtent l="0" t="0" r="0" b="0"/>
                      <wp:wrapNone/>
                      <wp:docPr id="544" name="Frame5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572135" cy="175260"/>
                      <wp:effectExtent l="0" t="0" r="0" b="0"/>
                      <wp:wrapNone/>
                      <wp:docPr id="545" name="Frame545"/>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219710" cy="175260"/>
                      <wp:effectExtent l="0" t="0" r="0" b="0"/>
                      <wp:wrapNone/>
                      <wp:docPr id="546" name="Frame5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372110" cy="175260"/>
                      <wp:effectExtent l="0" t="0" r="0" b="0"/>
                      <wp:wrapNone/>
                      <wp:docPr id="547" name="Frame547"/>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219710" cy="175260"/>
                      <wp:effectExtent l="0" t="0" r="0" b="0"/>
                      <wp:wrapNone/>
                      <wp:docPr id="548" name="Frame5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104"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w:t>
            </w:r>
          </w:p>
        </w:tc>
        <w:tc>
          <w:tcPr>
            <w:tcW w:w="391" w:type="dxa"/>
            <w:tcBorders/>
            <w:vAlign w:val="center"/>
          </w:tcPr>
          <w:p>
            <w:pPr>
              <w:pStyle w:val="TableContents"/>
              <w:bidi w:val="0"/>
              <w:spacing w:before="0" w:after="1"/>
              <w:ind w:left="0" w:right="0" w:hanging="0"/>
              <w:jc w:val="left"/>
              <w:rPr/>
            </w:pPr>
            <w:r>
              <w:rPr/>
              <w:t>​</w:t>
            </w:r>
          </w:p>
        </w:tc>
        <w:tc>
          <w:tcPr>
            <w:tcW w:w="204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1"/>
              <w:ind w:left="0" w:right="0" w:hanging="0"/>
              <w:jc w:val="center"/>
              <w:rPr/>
            </w:pPr>
            <w:r>
              <w:rPr/>
              <w:t> </w:t>
            </w:r>
          </w:p>
        </w:tc>
      </w:tr>
      <w:tr>
        <w:trPr/>
        <w:tc>
          <w:tcPr>
            <w:tcW w:w="26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80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91" w:type="dxa"/>
            <w:tcBorders/>
            <w:vAlign w:val="center"/>
          </w:tcPr>
          <w:p>
            <w:pPr>
              <w:pStyle w:val="TableContents"/>
              <w:bidi w:val="0"/>
              <w:spacing w:before="0" w:after="1"/>
              <w:ind w:left="0" w:right="0" w:hanging="0"/>
              <w:jc w:val="left"/>
              <w:rPr/>
            </w:pPr>
            <w:r>
              <w:rPr/>
              <w:t>​</w:t>
            </w:r>
          </w:p>
        </w:tc>
        <w:tc>
          <w:tcPr>
            <w:tcW w:w="190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1"/>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center"/>
              <w:rPr/>
            </w:pPr>
            <w:r>
              <w:rPr/>
              <w:t> </w:t>
            </w:r>
          </w:p>
        </w:tc>
      </w:tr>
      <w:tr>
        <w:trPr/>
        <w:tc>
          <w:tcPr>
            <w:tcW w:w="26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USD</w:t>
            </w:r>
          </w:p>
        </w:tc>
        <w:tc>
          <w:tcPr>
            <w:tcW w:w="346" w:type="dxa"/>
            <w:tcBorders/>
            <w:vAlign w:val="center"/>
          </w:tcPr>
          <w:p>
            <w:pPr>
              <w:pStyle w:val="TableContents"/>
              <w:bidi w:val="0"/>
              <w:spacing w:before="0" w:after="1"/>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  </w:t>
            </w:r>
          </w:p>
        </w:tc>
        <w:tc>
          <w:tcPr>
            <w:tcW w:w="391"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USD</w:t>
            </w:r>
          </w:p>
        </w:tc>
        <w:tc>
          <w:tcPr>
            <w:tcW w:w="346" w:type="dxa"/>
            <w:tcBorders/>
            <w:vAlign w:val="center"/>
          </w:tcPr>
          <w:p>
            <w:pPr>
              <w:pStyle w:val="TableContents"/>
              <w:bidi w:val="0"/>
              <w:spacing w:before="0" w:after="1"/>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391" w:type="dxa"/>
            <w:tcBorders/>
            <w:vAlign w:val="center"/>
          </w:tcPr>
          <w:p>
            <w:pPr>
              <w:pStyle w:val="TableContents"/>
              <w:bidi w:val="0"/>
              <w:spacing w:before="0" w:after="1"/>
              <w:ind w:left="0" w:right="0" w:hanging="0"/>
              <w:jc w:val="left"/>
              <w:rPr/>
            </w:pPr>
            <w:r>
              <w:rPr/>
              <w:t>  ​ ​ ​</w:t>
            </w:r>
          </w:p>
        </w:tc>
        <w:tc>
          <w:tcPr>
            <w:tcW w:w="211" w:type="dxa"/>
            <w:tcBorders/>
            <w:vAlign w:val="center"/>
          </w:tcPr>
          <w:p>
            <w:pPr>
              <w:pStyle w:val="TableContents"/>
              <w:bidi w:val="0"/>
              <w:spacing w:before="0" w:after="1"/>
              <w:ind w:left="0" w:right="0" w:hanging="0"/>
              <w:jc w:val="center"/>
              <w:rPr/>
            </w:pPr>
            <w:r>
              <w:rPr/>
              <w:t>​</w:t>
            </w:r>
          </w:p>
        </w:tc>
        <w:tc>
          <w:tcPr>
            <w:tcW w:w="9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5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w:t>
            </w:r>
          </w:p>
        </w:tc>
      </w:tr>
      <w:tr>
        <w:trPr/>
        <w:tc>
          <w:tcPr>
            <w:tcW w:w="26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Cost of Revenues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26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Revenues from Edward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19,833</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67,607</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(47,774)</w:t>
            </w:r>
          </w:p>
        </w:tc>
        <w:tc>
          <w:tcPr>
            <w:tcW w:w="346"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(70.7)</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Revenues from TWEW</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53,000</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72.8</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675,162</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90.9</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(622,162)</w:t>
            </w:r>
          </w:p>
        </w:tc>
        <w:tc>
          <w:tcPr>
            <w:tcW w:w="346" w:type="dxa"/>
            <w:tcBorders/>
            <w:shd w:fill="CCEEFF" w:val="clear"/>
            <w:vAlign w:val="center"/>
          </w:tcPr>
          <w:p>
            <w:pPr>
              <w:pStyle w:val="TableContents"/>
              <w:bidi w:val="0"/>
              <w:spacing w:before="0" w:after="1"/>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(92.2)</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2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cost of revenues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72,833</w:t>
            </w:r>
          </w:p>
        </w:tc>
        <w:tc>
          <w:tcPr>
            <w:tcW w:w="34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742,769</w:t>
            </w:r>
          </w:p>
        </w:tc>
        <w:tc>
          <w:tcPr>
            <w:tcW w:w="34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(669,936)</w:t>
            </w:r>
          </w:p>
        </w:tc>
        <w:tc>
          <w:tcPr>
            <w:tcW w:w="346" w:type="dxa"/>
            <w:tcBorders/>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(90.2)</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six months ended June 30, 2026, total cost of revenues decreased to $72,833 from $742,769 for the same period in 2025, representing a decrease of $669,936, or 90.2%. Cost of revenues attributable to TWEW was $53,000, representing 72.8% of total cost of revenues for the six months ended June 30, 2026, compared to $675,162 for the same period in 2025, representing a decrease of $622,162, or 92.2%, consistent with the corresponding decline in revenue from TWEW.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Cost of revenues from Edward was $19,833, or 27.2% of total cost of revenues for the six months ended June 30, 2026, compared to $67,607 for the same period in 2025, representing a decrease of $47,774, or 70.7%, consistent with the corresponding disposal of Edward.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Cost of revenues was mainly labor costs for TWEW and ocean freight service costs for Edward.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General and Administrative Expenses</w:t>
      </w:r>
    </w:p>
    <w:tbl>
      <w:tblPr>
        <w:tblW w:w="8923" w:type="dxa"/>
        <w:jc w:val="left"/>
        <w:tblInd w:w="0" w:type="dxa"/>
        <w:tblLayout w:type="fixed"/>
        <w:tblCellMar>
          <w:top w:w="0" w:type="dxa"/>
          <w:left w:w="0" w:type="dxa"/>
          <w:bottom w:w="0" w:type="dxa"/>
          <w:right w:w="0" w:type="dxa"/>
        </w:tblCellMar>
      </w:tblPr>
      <w:tblGrid>
        <w:gridCol w:w="3646"/>
        <w:gridCol w:w="346"/>
        <w:gridCol w:w="211"/>
        <w:gridCol w:w="781"/>
        <w:gridCol w:w="346"/>
        <w:gridCol w:w="211"/>
        <w:gridCol w:w="781"/>
        <w:gridCol w:w="346"/>
        <w:gridCol w:w="211"/>
        <w:gridCol w:w="796"/>
        <w:gridCol w:w="346"/>
        <w:gridCol w:w="586"/>
        <w:gridCol w:w="316"/>
      </w:tblGrid>
      <w:tr>
        <w:trPr/>
        <w:tc>
          <w:tcPr>
            <w:tcW w:w="3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2315210" cy="175260"/>
                      <wp:effectExtent l="0" t="0" r="0" b="0"/>
                      <wp:wrapNone/>
                      <wp:docPr id="549" name="Frame549"/>
                      <a:graphic xmlns:a="http://schemas.openxmlformats.org/drawingml/2006/main">
                        <a:graphicData uri="http://schemas.microsoft.com/office/word/2010/wordprocessingShape">
                          <wps:wsp>
                            <wps:cNvSpPr txBox="1"/>
                            <wps:spPr>
                              <a:xfrm>
                                <a:off x="0" y="0"/>
                                <a:ext cx="2315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219710" cy="175260"/>
                      <wp:effectExtent l="0" t="0" r="0" b="0"/>
                      <wp:wrapNone/>
                      <wp:docPr id="550" name="Frame5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133985" cy="175260"/>
                      <wp:effectExtent l="0" t="0" r="0" b="0"/>
                      <wp:wrapNone/>
                      <wp:docPr id="551" name="Frame5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495935" cy="175260"/>
                      <wp:effectExtent l="0" t="0" r="0" b="0"/>
                      <wp:wrapNone/>
                      <wp:docPr id="552" name="Frame55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219710" cy="175260"/>
                      <wp:effectExtent l="0" t="0" r="0" b="0"/>
                      <wp:wrapNone/>
                      <wp:docPr id="553" name="Frame5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133985" cy="175260"/>
                      <wp:effectExtent l="0" t="0" r="0" b="0"/>
                      <wp:wrapNone/>
                      <wp:docPr id="554" name="Frame5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495935" cy="175260"/>
                      <wp:effectExtent l="0" t="0" r="0" b="0"/>
                      <wp:wrapNone/>
                      <wp:docPr id="555" name="Frame55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219710" cy="175260"/>
                      <wp:effectExtent l="0" t="0" r="0" b="0"/>
                      <wp:wrapNone/>
                      <wp:docPr id="556" name="Frame5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133985" cy="175260"/>
                      <wp:effectExtent l="0" t="0" r="0" b="0"/>
                      <wp:wrapNone/>
                      <wp:docPr id="557" name="Frame5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505460" cy="175260"/>
                      <wp:effectExtent l="0" t="0" r="0" b="0"/>
                      <wp:wrapNone/>
                      <wp:docPr id="558" name="Frame55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219710" cy="175260"/>
                      <wp:effectExtent l="0" t="0" r="0" b="0"/>
                      <wp:wrapNone/>
                      <wp:docPr id="559" name="Frame5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372110" cy="175260"/>
                      <wp:effectExtent l="0" t="0" r="0" b="0"/>
                      <wp:wrapNone/>
                      <wp:docPr id="560" name="Frame560"/>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200660" cy="175260"/>
                      <wp:effectExtent l="0" t="0" r="0" b="0"/>
                      <wp:wrapNone/>
                      <wp:docPr id="561" name="Frame56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3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c>
          <w:tcPr>
            <w:tcW w:w="346" w:type="dxa"/>
            <w:tcBorders/>
            <w:vAlign w:val="center"/>
          </w:tcPr>
          <w:p>
            <w:pPr>
              <w:pStyle w:val="TableContents"/>
              <w:bidi w:val="0"/>
              <w:spacing w:before="0" w:after="1"/>
              <w:ind w:left="0" w:right="0" w:hanging="0"/>
              <w:jc w:val="center"/>
              <w:rPr/>
            </w:pPr>
            <w:r>
              <w:rPr/>
              <w:t>​</w:t>
            </w:r>
          </w:p>
        </w:tc>
        <w:tc>
          <w:tcPr>
            <w:tcW w:w="193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1"/>
              <w:ind w:left="0" w:right="0" w:hanging="0"/>
              <w:jc w:val="center"/>
              <w:rPr/>
            </w:pPr>
            <w:r>
              <w:rPr/>
              <w:t> </w:t>
            </w:r>
          </w:p>
        </w:tc>
      </w:tr>
      <w:tr>
        <w:trPr/>
        <w:tc>
          <w:tcPr>
            <w:tcW w:w="36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  ​ ​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1"/>
              <w:ind w:left="0" w:right="0" w:hanging="0"/>
              <w:jc w:val="center"/>
              <w:rPr/>
            </w:pPr>
            <w:r>
              <w:rPr/>
              <w:t> </w:t>
            </w:r>
          </w:p>
        </w:tc>
      </w:tr>
      <w:tr>
        <w:trPr/>
        <w:tc>
          <w:tcPr>
            <w:tcW w:w="36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(Unaudited)</w:t>
            </w:r>
          </w:p>
        </w:tc>
        <w:tc>
          <w:tcPr>
            <w:tcW w:w="346" w:type="dxa"/>
            <w:tcBorders/>
            <w:vAlign w:val="center"/>
          </w:tcPr>
          <w:p>
            <w:pPr>
              <w:pStyle w:val="TableContents"/>
              <w:bidi w:val="0"/>
              <w:spacing w:before="0" w:after="1"/>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(Unaudited)</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w:t>
            </w:r>
          </w:p>
        </w:tc>
      </w:tr>
      <w:tr>
        <w:trPr/>
        <w:tc>
          <w:tcPr>
            <w:tcW w:w="36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General and Administrative Expenses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6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Payroll and Benefits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14,521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60,530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(46,009)</w:t>
            </w:r>
          </w:p>
        </w:tc>
        <w:tc>
          <w:tcPr>
            <w:tcW w:w="346"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Rental and Leases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46,031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92,061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(46,030)</w:t>
            </w:r>
          </w:p>
        </w:tc>
        <w:tc>
          <w:tcPr>
            <w:tcW w:w="346"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Travel and Entertainment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w:t>
            </w:r>
          </w:p>
        </w:tc>
        <w:tc>
          <w:tcPr>
            <w:tcW w:w="346"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Insurance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(652)</w:t>
            </w:r>
          </w:p>
        </w:tc>
        <w:tc>
          <w:tcPr>
            <w:tcW w:w="346"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41,768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62,657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(20,889)</w:t>
            </w:r>
          </w:p>
        </w:tc>
        <w:tc>
          <w:tcPr>
            <w:tcW w:w="346"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53,509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29,467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(24,042)</w:t>
            </w:r>
          </w:p>
        </w:tc>
        <w:tc>
          <w:tcPr>
            <w:tcW w:w="346" w:type="dxa"/>
            <w:tcBorders/>
            <w:shd w:fill="CCEEFF" w:val="clear"/>
            <w:vAlign w:val="center"/>
          </w:tcPr>
          <w:p>
            <w:pPr>
              <w:pStyle w:val="TableContents"/>
              <w:bidi w:val="0"/>
              <w:spacing w:before="0" w:after="1"/>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(81.6)</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General and Administrative Expenses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156,689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246,070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(89,381)</w:t>
            </w:r>
          </w:p>
        </w:tc>
        <w:tc>
          <w:tcPr>
            <w:tcW w:w="346" w:type="dxa"/>
            <w:tcBorders/>
            <w:vAlign w:val="center"/>
          </w:tcPr>
          <w:p>
            <w:pPr>
              <w:pStyle w:val="TableContents"/>
              <w:bidi w:val="0"/>
              <w:spacing w:before="0" w:after="1"/>
              <w:ind w:left="0" w:right="0" w:hanging="0"/>
              <w:jc w:val="left"/>
              <w:rPr/>
            </w:pPr>
            <w:r>
              <w:rPr/>
              <w:t> </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(36.3)</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General and administrative expenses for the Company’s continuing operations-logistics and warehousing services segment decreased by $89,381, or 36.3%, to $156,689 for the six months ended June 30, 2026 from $246,070 for the six months ended June 30, 2025. The decrease was mainly due to lower operating and administrative expenses following the disposal of Edward, as well as ongoing cost control initiatives.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Continuing Operations- International Trading</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Revenues</w:t>
      </w:r>
    </w:p>
    <w:tbl>
      <w:tblPr>
        <w:tblW w:w="9482" w:type="dxa"/>
        <w:jc w:val="left"/>
        <w:tblInd w:w="0" w:type="dxa"/>
        <w:tblLayout w:type="fixed"/>
        <w:tblCellMar>
          <w:top w:w="0" w:type="dxa"/>
          <w:left w:w="0" w:type="dxa"/>
          <w:bottom w:w="0" w:type="dxa"/>
          <w:right w:w="0" w:type="dxa"/>
        </w:tblCellMar>
      </w:tblPr>
      <w:tblGrid>
        <w:gridCol w:w="2941"/>
        <w:gridCol w:w="346"/>
        <w:gridCol w:w="211"/>
        <w:gridCol w:w="781"/>
        <w:gridCol w:w="346"/>
        <w:gridCol w:w="571"/>
        <w:gridCol w:w="391"/>
        <w:gridCol w:w="211"/>
        <w:gridCol w:w="346"/>
        <w:gridCol w:w="346"/>
        <w:gridCol w:w="346"/>
        <w:gridCol w:w="391"/>
        <w:gridCol w:w="211"/>
        <w:gridCol w:w="781"/>
        <w:gridCol w:w="346"/>
        <w:gridCol w:w="571"/>
        <w:gridCol w:w="346"/>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1867535" cy="175260"/>
                      <wp:effectExtent l="0" t="0" r="0" b="0"/>
                      <wp:wrapNone/>
                      <wp:docPr id="562" name="Frame562"/>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219710" cy="175260"/>
                      <wp:effectExtent l="0" t="0" r="0" b="0"/>
                      <wp:wrapNone/>
                      <wp:docPr id="563" name="Frame5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133985" cy="175260"/>
                      <wp:effectExtent l="0" t="0" r="0" b="0"/>
                      <wp:wrapNone/>
                      <wp:docPr id="564" name="Frame5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495935" cy="175260"/>
                      <wp:effectExtent l="0" t="0" r="0" b="0"/>
                      <wp:wrapNone/>
                      <wp:docPr id="565" name="Frame56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219710" cy="175260"/>
                      <wp:effectExtent l="0" t="0" r="0" b="0"/>
                      <wp:wrapNone/>
                      <wp:docPr id="566" name="Frame5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362585" cy="175260"/>
                      <wp:effectExtent l="0" t="0" r="0" b="0"/>
                      <wp:wrapNone/>
                      <wp:docPr id="567" name="Frame56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248285" cy="175260"/>
                      <wp:effectExtent l="0" t="0" r="0" b="0"/>
                      <wp:wrapNone/>
                      <wp:docPr id="568" name="Frame568"/>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133985" cy="175260"/>
                      <wp:effectExtent l="0" t="0" r="0" b="0"/>
                      <wp:wrapNone/>
                      <wp:docPr id="569" name="Frame5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219710" cy="175260"/>
                      <wp:effectExtent l="0" t="0" r="0" b="0"/>
                      <wp:wrapNone/>
                      <wp:docPr id="570" name="Frame5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219710" cy="175260"/>
                      <wp:effectExtent l="0" t="0" r="0" b="0"/>
                      <wp:wrapNone/>
                      <wp:docPr id="571" name="Frame5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219710" cy="175260"/>
                      <wp:effectExtent l="0" t="0" r="0" b="0"/>
                      <wp:wrapNone/>
                      <wp:docPr id="572" name="Frame5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248285" cy="175260"/>
                      <wp:effectExtent l="0" t="0" r="0" b="0"/>
                      <wp:wrapNone/>
                      <wp:docPr id="573" name="Frame573"/>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133985" cy="175260"/>
                      <wp:effectExtent l="0" t="0" r="0" b="0"/>
                      <wp:wrapNone/>
                      <wp:docPr id="574" name="Frame5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495935" cy="175260"/>
                      <wp:effectExtent l="0" t="0" r="0" b="0"/>
                      <wp:wrapNone/>
                      <wp:docPr id="575" name="Frame57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219710" cy="175260"/>
                      <wp:effectExtent l="0" t="0" r="0" b="0"/>
                      <wp:wrapNone/>
                      <wp:docPr id="576" name="Frame5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362585" cy="175260"/>
                      <wp:effectExtent l="0" t="0" r="0" b="0"/>
                      <wp:wrapNone/>
                      <wp:docPr id="577" name="Frame57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219710" cy="175260"/>
                      <wp:effectExtent l="0" t="0" r="0" b="0"/>
                      <wp:wrapNone/>
                      <wp:docPr id="578" name="Frame5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549"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w:t>
            </w:r>
          </w:p>
        </w:tc>
        <w:tc>
          <w:tcPr>
            <w:tcW w:w="391" w:type="dxa"/>
            <w:tcBorders/>
            <w:vAlign w:val="center"/>
          </w:tcPr>
          <w:p>
            <w:pPr>
              <w:pStyle w:val="TableContents"/>
              <w:bidi w:val="0"/>
              <w:spacing w:before="0" w:after="1"/>
              <w:ind w:left="0" w:right="0" w:hanging="0"/>
              <w:jc w:val="left"/>
              <w:rPr/>
            </w:pPr>
            <w:r>
              <w:rPr/>
              <w:t>​</w:t>
            </w:r>
          </w:p>
        </w:tc>
        <w:tc>
          <w:tcPr>
            <w:tcW w:w="190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1"/>
              <w:ind w:left="0" w:right="0" w:hanging="0"/>
              <w:jc w:val="center"/>
              <w:rPr/>
            </w:pPr>
            <w:r>
              <w:rPr/>
              <w:t> </w:t>
            </w:r>
          </w:p>
        </w:tc>
      </w:tr>
      <w:tr>
        <w:trPr/>
        <w:tc>
          <w:tcPr>
            <w:tcW w:w="29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90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91" w:type="dxa"/>
            <w:tcBorders/>
            <w:vAlign w:val="center"/>
          </w:tcPr>
          <w:p>
            <w:pPr>
              <w:pStyle w:val="TableContents"/>
              <w:bidi w:val="0"/>
              <w:spacing w:before="0" w:after="1"/>
              <w:ind w:left="0" w:right="0" w:hanging="0"/>
              <w:jc w:val="left"/>
              <w:rPr/>
            </w:pPr>
            <w:r>
              <w:rPr/>
              <w:t>​</w:t>
            </w:r>
          </w:p>
        </w:tc>
        <w:tc>
          <w:tcPr>
            <w:tcW w:w="124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center"/>
              <w:rPr/>
            </w:pPr>
            <w:r>
              <w:rPr/>
              <w:t> </w:t>
            </w:r>
          </w:p>
        </w:tc>
      </w:tr>
      <w:tr>
        <w:trPr/>
        <w:tc>
          <w:tcPr>
            <w:tcW w:w="29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90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91" w:type="dxa"/>
            <w:tcBorders/>
            <w:vAlign w:val="center"/>
          </w:tcPr>
          <w:p>
            <w:pPr>
              <w:pStyle w:val="TableContents"/>
              <w:bidi w:val="0"/>
              <w:spacing w:before="0" w:after="1"/>
              <w:ind w:left="0" w:right="0" w:hanging="0"/>
              <w:jc w:val="left"/>
              <w:rPr/>
            </w:pPr>
            <w:r>
              <w:rPr/>
              <w:t>​</w:t>
            </w:r>
          </w:p>
        </w:tc>
        <w:tc>
          <w:tcPr>
            <w:tcW w:w="124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9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w:t>
            </w:r>
          </w:p>
        </w:tc>
      </w:tr>
      <w:tr>
        <w:trPr/>
        <w:tc>
          <w:tcPr>
            <w:tcW w:w="29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USD</w:t>
            </w:r>
          </w:p>
        </w:tc>
        <w:tc>
          <w:tcPr>
            <w:tcW w:w="346" w:type="dxa"/>
            <w:tcBorders/>
            <w:vAlign w:val="center"/>
          </w:tcPr>
          <w:p>
            <w:pPr>
              <w:pStyle w:val="TableContents"/>
              <w:bidi w:val="0"/>
              <w:spacing w:before="0" w:after="1"/>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391" w:type="dxa"/>
            <w:tcBorders/>
            <w:vAlign w:val="center"/>
          </w:tcPr>
          <w:p>
            <w:pPr>
              <w:pStyle w:val="TableContents"/>
              <w:bidi w:val="0"/>
              <w:spacing w:before="0" w:after="1"/>
              <w:ind w:left="0" w:right="0" w:hanging="0"/>
              <w:jc w:val="left"/>
              <w:rPr/>
            </w:pPr>
            <w:r>
              <w:rPr/>
              <w:t>  ​ ​ ​</w:t>
            </w:r>
          </w:p>
        </w:tc>
        <w:tc>
          <w:tcPr>
            <w:tcW w:w="5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USD</w:t>
            </w:r>
          </w:p>
        </w:tc>
        <w:tc>
          <w:tcPr>
            <w:tcW w:w="346" w:type="dxa"/>
            <w:tcBorders/>
            <w:vAlign w:val="center"/>
          </w:tcPr>
          <w:p>
            <w:pPr>
              <w:pStyle w:val="TableContents"/>
              <w:bidi w:val="0"/>
              <w:spacing w:before="0" w:after="1"/>
              <w:ind w:left="0" w:right="0" w:hanging="0"/>
              <w:jc w:val="center"/>
              <w:rPr/>
            </w:pPr>
            <w:r>
              <w:rPr/>
              <w:t>  ​ ​ ​</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391" w:type="dxa"/>
            <w:tcBorders/>
            <w:vAlign w:val="center"/>
          </w:tcPr>
          <w:p>
            <w:pPr>
              <w:pStyle w:val="TableContents"/>
              <w:bidi w:val="0"/>
              <w:spacing w:before="0" w:after="1"/>
              <w:ind w:left="0" w:right="0" w:hanging="0"/>
              <w:jc w:val="left"/>
              <w:rPr/>
            </w:pPr>
            <w:r>
              <w:rPr/>
              <w:t>  ​ ​ ​</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 from Cheetah</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208,909</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208,909</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 from Super International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660,000</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76.0</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660,000</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868,909</w:t>
            </w:r>
          </w:p>
        </w:tc>
        <w:tc>
          <w:tcPr>
            <w:tcW w:w="34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868,909</w:t>
            </w:r>
          </w:p>
        </w:tc>
        <w:tc>
          <w:tcPr>
            <w:tcW w:w="34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six months ended June 30, 2026, we reported revenue of $868,909 from international trading segment, including $208,909, or 24.0%, of our total revenue from Cheetah, and $660,000, or 76.0%, of our total revenue from Super International, which we acquired on May 27,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Revenue from Cheetah increased by 100.0% to $208,909 for the six months ended June 30, 2026, compared to $nil for the same period in 2025. The increase was primarily due to the expansion of our international trading business following the acquisition of Super International.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Revenue from Super International increased by 100.0% to $660,000 for the six months ended June 30, 2026, compared to $nil for the same period in 2025, primarily due to acquisition of Super International on May 27, 2026, and its operating results were included in our consolidated financial statements beginning on the acquisition date.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Cost of Revenues</w:t>
      </w:r>
    </w:p>
    <w:tbl>
      <w:tblPr>
        <w:tblW w:w="10112" w:type="dxa"/>
        <w:jc w:val="left"/>
        <w:tblInd w:w="0" w:type="dxa"/>
        <w:tblLayout w:type="fixed"/>
        <w:tblCellMar>
          <w:top w:w="0" w:type="dxa"/>
          <w:left w:w="0" w:type="dxa"/>
          <w:bottom w:w="0" w:type="dxa"/>
          <w:right w:w="0" w:type="dxa"/>
        </w:tblCellMar>
      </w:tblPr>
      <w:tblGrid>
        <w:gridCol w:w="3571"/>
        <w:gridCol w:w="346"/>
        <w:gridCol w:w="211"/>
        <w:gridCol w:w="781"/>
        <w:gridCol w:w="346"/>
        <w:gridCol w:w="571"/>
        <w:gridCol w:w="391"/>
        <w:gridCol w:w="211"/>
        <w:gridCol w:w="346"/>
        <w:gridCol w:w="346"/>
        <w:gridCol w:w="346"/>
        <w:gridCol w:w="391"/>
        <w:gridCol w:w="211"/>
        <w:gridCol w:w="781"/>
        <w:gridCol w:w="346"/>
        <w:gridCol w:w="571"/>
        <w:gridCol w:w="346"/>
      </w:tblGrid>
      <w:tr>
        <w:trPr/>
        <w:tc>
          <w:tcPr>
            <w:tcW w:w="3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r>
      <w:tr>
        <w:trPr/>
        <w:tc>
          <w:tcPr>
            <w:tcW w:w="3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549"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w:t>
            </w:r>
          </w:p>
        </w:tc>
        <w:tc>
          <w:tcPr>
            <w:tcW w:w="391" w:type="dxa"/>
            <w:tcBorders/>
            <w:vAlign w:val="center"/>
          </w:tcPr>
          <w:p>
            <w:pPr>
              <w:pStyle w:val="TableContents"/>
              <w:bidi w:val="0"/>
              <w:spacing w:before="0" w:after="1"/>
              <w:ind w:left="0" w:right="0" w:hanging="0"/>
              <w:jc w:val="left"/>
              <w:rPr/>
            </w:pPr>
            <w:r>
              <w:rPr/>
              <w:t>​</w:t>
            </w:r>
          </w:p>
        </w:tc>
        <w:tc>
          <w:tcPr>
            <w:tcW w:w="190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1"/>
              <w:ind w:left="0" w:right="0" w:hanging="0"/>
              <w:jc w:val="center"/>
              <w:rPr/>
            </w:pPr>
            <w:r>
              <w:rPr/>
              <w:t> </w:t>
            </w:r>
          </w:p>
        </w:tc>
      </w:tr>
      <w:tr>
        <w:trPr/>
        <w:tc>
          <w:tcPr>
            <w:tcW w:w="3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90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91" w:type="dxa"/>
            <w:tcBorders/>
            <w:vAlign w:val="center"/>
          </w:tcPr>
          <w:p>
            <w:pPr>
              <w:pStyle w:val="TableContents"/>
              <w:bidi w:val="0"/>
              <w:spacing w:before="0" w:after="1"/>
              <w:ind w:left="0" w:right="0" w:hanging="0"/>
              <w:jc w:val="left"/>
              <w:rPr/>
            </w:pPr>
            <w:r>
              <w:rPr/>
              <w:t>​</w:t>
            </w:r>
          </w:p>
        </w:tc>
        <w:tc>
          <w:tcPr>
            <w:tcW w:w="124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center"/>
              <w:rPr/>
            </w:pPr>
            <w:r>
              <w:rPr/>
              <w:t> </w:t>
            </w:r>
          </w:p>
        </w:tc>
      </w:tr>
      <w:tr>
        <w:trPr/>
        <w:tc>
          <w:tcPr>
            <w:tcW w:w="3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90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91" w:type="dxa"/>
            <w:tcBorders/>
            <w:vAlign w:val="center"/>
          </w:tcPr>
          <w:p>
            <w:pPr>
              <w:pStyle w:val="TableContents"/>
              <w:bidi w:val="0"/>
              <w:spacing w:before="0" w:after="1"/>
              <w:ind w:left="0" w:right="0" w:hanging="0"/>
              <w:jc w:val="left"/>
              <w:rPr/>
            </w:pPr>
            <w:r>
              <w:rPr/>
              <w:t>​</w:t>
            </w:r>
          </w:p>
        </w:tc>
        <w:tc>
          <w:tcPr>
            <w:tcW w:w="124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9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w:t>
            </w:r>
          </w:p>
        </w:tc>
      </w:tr>
      <w:tr>
        <w:trPr/>
        <w:tc>
          <w:tcPr>
            <w:tcW w:w="3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USD</w:t>
            </w:r>
          </w:p>
        </w:tc>
        <w:tc>
          <w:tcPr>
            <w:tcW w:w="346" w:type="dxa"/>
            <w:tcBorders/>
            <w:vAlign w:val="center"/>
          </w:tcPr>
          <w:p>
            <w:pPr>
              <w:pStyle w:val="TableContents"/>
              <w:bidi w:val="0"/>
              <w:spacing w:before="0" w:after="1"/>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391" w:type="dxa"/>
            <w:tcBorders/>
            <w:vAlign w:val="center"/>
          </w:tcPr>
          <w:p>
            <w:pPr>
              <w:pStyle w:val="TableContents"/>
              <w:bidi w:val="0"/>
              <w:spacing w:before="0" w:after="1"/>
              <w:ind w:left="0" w:right="0" w:hanging="0"/>
              <w:jc w:val="left"/>
              <w:rPr/>
            </w:pPr>
            <w:r>
              <w:rPr/>
              <w:t>  ​ ​ ​</w:t>
            </w:r>
          </w:p>
        </w:tc>
        <w:tc>
          <w:tcPr>
            <w:tcW w:w="5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USD</w:t>
            </w:r>
          </w:p>
        </w:tc>
        <w:tc>
          <w:tcPr>
            <w:tcW w:w="346" w:type="dxa"/>
            <w:tcBorders/>
            <w:vAlign w:val="center"/>
          </w:tcPr>
          <w:p>
            <w:pPr>
              <w:pStyle w:val="TableContents"/>
              <w:bidi w:val="0"/>
              <w:spacing w:before="0" w:after="1"/>
              <w:ind w:left="0" w:right="0" w:hanging="0"/>
              <w:jc w:val="center"/>
              <w:rPr/>
            </w:pPr>
            <w:r>
              <w:rPr/>
              <w:t>  ​ ​ ​</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391" w:type="dxa"/>
            <w:tcBorders/>
            <w:vAlign w:val="center"/>
          </w:tcPr>
          <w:p>
            <w:pPr>
              <w:pStyle w:val="TableContents"/>
              <w:bidi w:val="0"/>
              <w:spacing w:before="0" w:after="1"/>
              <w:ind w:left="0" w:right="0" w:hanging="0"/>
              <w:jc w:val="left"/>
              <w:rPr/>
            </w:pPr>
            <w:r>
              <w:rPr/>
              <w:t>  ​ ​ ​</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w:t>
            </w:r>
          </w:p>
        </w:tc>
      </w:tr>
      <w:tr>
        <w:trPr/>
        <w:tc>
          <w:tcPr>
            <w:tcW w:w="357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Cost of Revenues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357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Revenues from Cheetah</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199,409</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199,409</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7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Revenues from Super International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650,000</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76.5</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650,000</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71"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cost of revenues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849,409</w:t>
            </w:r>
          </w:p>
        </w:tc>
        <w:tc>
          <w:tcPr>
            <w:tcW w:w="34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849,409</w:t>
            </w:r>
          </w:p>
        </w:tc>
        <w:tc>
          <w:tcPr>
            <w:tcW w:w="34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six months ended June 30, 2026, total cost of revenues increased to $849,409 from $nil for the same period in 2025, representing an increase of $849,409, or 100.0%. Cost of revenues attributable to Cheetah was $199,409, representing 23.5% of total cost of revenues for the six months ended June 30, 2026, compared to $nil for the same period in 2025, representing an increase of $199,409, or 100.0%, consistent with the corresponding increase in revenue from Cheetah.</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Cost of revenues from Super International was $650,000, or 76.5% of total cost of revenues for the six months ended June 30, 2026, compared to $nil for the same period in 2025, representing an increase of $650,000, or 100.0%, consistent with the corresponding increase in revenue from Super International.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Cost of revenues was mainly labor costs for Cheetah and ocean freight service costs for Super International.</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General and Administrative Expenses</w:t>
      </w:r>
    </w:p>
    <w:tbl>
      <w:tblPr>
        <w:tblW w:w="8826" w:type="dxa"/>
        <w:jc w:val="left"/>
        <w:tblInd w:w="0" w:type="dxa"/>
        <w:tblLayout w:type="fixed"/>
        <w:tblCellMar>
          <w:top w:w="0" w:type="dxa"/>
          <w:left w:w="0" w:type="dxa"/>
          <w:bottom w:w="0" w:type="dxa"/>
          <w:right w:w="0" w:type="dxa"/>
        </w:tblCellMar>
      </w:tblPr>
      <w:tblGrid>
        <w:gridCol w:w="3646"/>
        <w:gridCol w:w="346"/>
        <w:gridCol w:w="243"/>
        <w:gridCol w:w="781"/>
        <w:gridCol w:w="399"/>
        <w:gridCol w:w="355"/>
        <w:gridCol w:w="590"/>
        <w:gridCol w:w="346"/>
        <w:gridCol w:w="211"/>
        <w:gridCol w:w="676"/>
        <w:gridCol w:w="346"/>
        <w:gridCol w:w="571"/>
        <w:gridCol w:w="316"/>
      </w:tblGrid>
      <w:tr>
        <w:trPr/>
        <w:tc>
          <w:tcPr>
            <w:tcW w:w="3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2315210" cy="175260"/>
                      <wp:effectExtent l="0" t="0" r="0" b="0"/>
                      <wp:wrapNone/>
                      <wp:docPr id="579" name="Frame579"/>
                      <a:graphic xmlns:a="http://schemas.openxmlformats.org/drawingml/2006/main">
                        <a:graphicData uri="http://schemas.microsoft.com/office/word/2010/wordprocessingShape">
                          <wps:wsp>
                            <wps:cNvSpPr txBox="1"/>
                            <wps:spPr>
                              <a:xfrm>
                                <a:off x="0" y="0"/>
                                <a:ext cx="2315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219710" cy="175260"/>
                      <wp:effectExtent l="0" t="0" r="0" b="0"/>
                      <wp:wrapNone/>
                      <wp:docPr id="580" name="Frame5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154305" cy="175260"/>
                      <wp:effectExtent l="0" t="0" r="0" b="0"/>
                      <wp:wrapNone/>
                      <wp:docPr id="581" name="Frame581"/>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495935" cy="175260"/>
                      <wp:effectExtent l="0" t="0" r="0" b="0"/>
                      <wp:wrapNone/>
                      <wp:docPr id="582" name="Frame58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253365" cy="175260"/>
                      <wp:effectExtent l="0" t="0" r="0" b="0"/>
                      <wp:wrapNone/>
                      <wp:docPr id="583" name="Frame583"/>
                      <a:graphic xmlns:a="http://schemas.openxmlformats.org/drawingml/2006/main">
                        <a:graphicData uri="http://schemas.microsoft.com/office/word/2010/wordprocessingShape">
                          <wps:wsp>
                            <wps:cNvSpPr txBox="1"/>
                            <wps:spPr>
                              <a:xfrm>
                                <a:off x="0" y="0"/>
                                <a:ext cx="2533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225425" cy="175260"/>
                      <wp:effectExtent l="0" t="0" r="0" b="0"/>
                      <wp:wrapNone/>
                      <wp:docPr id="584" name="Frame584"/>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374650" cy="175260"/>
                      <wp:effectExtent l="0" t="0" r="0" b="0"/>
                      <wp:wrapNone/>
                      <wp:docPr id="585" name="Frame585"/>
                      <a:graphic xmlns:a="http://schemas.openxmlformats.org/drawingml/2006/main">
                        <a:graphicData uri="http://schemas.microsoft.com/office/word/2010/wordprocessingShape">
                          <wps:wsp>
                            <wps:cNvSpPr txBox="1"/>
                            <wps:spPr>
                              <a:xfrm>
                                <a:off x="0" y="0"/>
                                <a:ext cx="3746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219710" cy="175260"/>
                      <wp:effectExtent l="0" t="0" r="0" b="0"/>
                      <wp:wrapNone/>
                      <wp:docPr id="586" name="Frame5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133985" cy="175260"/>
                      <wp:effectExtent l="0" t="0" r="0" b="0"/>
                      <wp:wrapNone/>
                      <wp:docPr id="587" name="Frame5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429260" cy="175260"/>
                      <wp:effectExtent l="0" t="0" r="0" b="0"/>
                      <wp:wrapNone/>
                      <wp:docPr id="588" name="Frame58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219710" cy="175260"/>
                      <wp:effectExtent l="0" t="0" r="0" b="0"/>
                      <wp:wrapNone/>
                      <wp:docPr id="589" name="Frame5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362585" cy="175260"/>
                      <wp:effectExtent l="0" t="0" r="0" b="0"/>
                      <wp:wrapNone/>
                      <wp:docPr id="590" name="Frame59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200660" cy="175260"/>
                      <wp:effectExtent l="0" t="0" r="0" b="0"/>
                      <wp:wrapNone/>
                      <wp:docPr id="591" name="Frame59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36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c>
          <w:tcPr>
            <w:tcW w:w="346" w:type="dxa"/>
            <w:tcBorders/>
            <w:vAlign w:val="center"/>
          </w:tcPr>
          <w:p>
            <w:pPr>
              <w:pStyle w:val="TableContents"/>
              <w:bidi w:val="0"/>
              <w:spacing w:before="0" w:after="1"/>
              <w:ind w:left="0" w:right="0" w:hanging="0"/>
              <w:jc w:val="center"/>
              <w:rPr/>
            </w:pPr>
            <w:r>
              <w:rPr/>
              <w:t>​</w:t>
            </w:r>
          </w:p>
        </w:tc>
        <w:tc>
          <w:tcPr>
            <w:tcW w:w="180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1"/>
              <w:ind w:left="0" w:right="0" w:hanging="0"/>
              <w:jc w:val="center"/>
              <w:rPr/>
            </w:pPr>
            <w:r>
              <w:rPr/>
              <w:t> </w:t>
            </w:r>
          </w:p>
        </w:tc>
      </w:tr>
      <w:tr>
        <w:trPr/>
        <w:tc>
          <w:tcPr>
            <w:tcW w:w="36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2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99" w:type="dxa"/>
            <w:tcBorders/>
            <w:vAlign w:val="center"/>
          </w:tcPr>
          <w:p>
            <w:pPr>
              <w:pStyle w:val="TableContents"/>
              <w:bidi w:val="0"/>
              <w:spacing w:before="0" w:after="1"/>
              <w:ind w:left="0" w:right="0" w:hanging="0"/>
              <w:jc w:val="center"/>
              <w:rPr/>
            </w:pPr>
            <w:r>
              <w:rPr/>
              <w:t>​</w:t>
            </w:r>
          </w:p>
        </w:tc>
        <w:tc>
          <w:tcPr>
            <w:tcW w:w="9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1"/>
              <w:ind w:left="0" w:right="0" w:hanging="0"/>
              <w:jc w:val="center"/>
              <w:rPr/>
            </w:pPr>
            <w:r>
              <w:rPr/>
              <w:t> </w:t>
            </w:r>
          </w:p>
        </w:tc>
      </w:tr>
      <w:tr>
        <w:trPr/>
        <w:tc>
          <w:tcPr>
            <w:tcW w:w="36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2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(Unaudited)</w:t>
            </w:r>
          </w:p>
        </w:tc>
        <w:tc>
          <w:tcPr>
            <w:tcW w:w="399" w:type="dxa"/>
            <w:tcBorders/>
            <w:vAlign w:val="center"/>
          </w:tcPr>
          <w:p>
            <w:pPr>
              <w:pStyle w:val="TableContents"/>
              <w:bidi w:val="0"/>
              <w:spacing w:before="0" w:after="1"/>
              <w:ind w:left="0" w:right="0" w:hanging="0"/>
              <w:jc w:val="center"/>
              <w:rPr/>
            </w:pPr>
            <w:r>
              <w:rPr/>
              <w:t>  ​ ​ ​</w:t>
            </w:r>
          </w:p>
        </w:tc>
        <w:tc>
          <w:tcPr>
            <w:tcW w:w="9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(Unaudited)</w:t>
            </w:r>
          </w:p>
        </w:tc>
        <w:tc>
          <w:tcPr>
            <w:tcW w:w="346" w:type="dxa"/>
            <w:tcBorders/>
            <w:vAlign w:val="center"/>
          </w:tcPr>
          <w:p>
            <w:pPr>
              <w:pStyle w:val="TableContents"/>
              <w:bidi w:val="0"/>
              <w:spacing w:before="0" w:after="1"/>
              <w:ind w:left="0" w:right="0" w:hanging="0"/>
              <w:jc w:val="center"/>
              <w:rPr/>
            </w:pPr>
            <w:r>
              <w:rPr/>
              <w:t>  ​ ​ ​</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57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 </w:t>
            </w:r>
          </w:p>
        </w:tc>
      </w:tr>
      <w:tr>
        <w:trPr/>
        <w:tc>
          <w:tcPr>
            <w:tcW w:w="36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General and Administrative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99" w:type="dxa"/>
            <w:tcBorders/>
            <w:shd w:fill="CCEEFF" w:val="clear"/>
            <w:vAlign w:val="center"/>
          </w:tcPr>
          <w:p>
            <w:pPr>
              <w:pStyle w:val="TableContents"/>
              <w:bidi w:val="0"/>
              <w:spacing w:before="0" w:after="1"/>
              <w:ind w:left="0" w:right="0" w:hanging="0"/>
              <w:jc w:val="left"/>
              <w:rPr/>
            </w:pPr>
            <w:r>
              <w:rPr/>
              <w:t>​</w:t>
            </w:r>
          </w:p>
        </w:tc>
        <w:tc>
          <w:tcPr>
            <w:tcW w:w="355" w:type="dxa"/>
            <w:tcBorders/>
            <w:shd w:fill="CCEEFF" w:val="clear"/>
            <w:vAlign w:val="center"/>
          </w:tcPr>
          <w:p>
            <w:pPr>
              <w:pStyle w:val="TableContents"/>
              <w:bidi w:val="0"/>
              <w:spacing w:before="0" w:after="1"/>
              <w:ind w:left="0" w:right="0" w:hanging="0"/>
              <w:jc w:val="left"/>
              <w:rPr/>
            </w:pPr>
            <w:r>
              <w:rPr/>
              <w:t>​</w:t>
            </w:r>
          </w:p>
        </w:tc>
        <w:tc>
          <w:tcPr>
            <w:tcW w:w="59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6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vAlign w:val="center"/>
          </w:tcPr>
          <w:p>
            <w:pPr>
              <w:pStyle w:val="TableContents"/>
              <w:bidi w:val="0"/>
              <w:spacing w:before="0" w:after="1"/>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20,084</w:t>
            </w:r>
          </w:p>
        </w:tc>
        <w:tc>
          <w:tcPr>
            <w:tcW w:w="399" w:type="dxa"/>
            <w:tcBorders/>
            <w:vAlign w:val="center"/>
          </w:tcPr>
          <w:p>
            <w:pPr>
              <w:pStyle w:val="TableContents"/>
              <w:bidi w:val="0"/>
              <w:spacing w:before="0" w:after="1"/>
              <w:ind w:left="0" w:right="0" w:hanging="0"/>
              <w:jc w:val="left"/>
              <w:rPr/>
            </w:pPr>
            <w:r>
              <w:rPr/>
              <w:t>​</w:t>
            </w:r>
          </w:p>
        </w:tc>
        <w:tc>
          <w:tcPr>
            <w:tcW w:w="35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9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20,084</w:t>
            </w:r>
          </w:p>
        </w:tc>
        <w:tc>
          <w:tcPr>
            <w:tcW w:w="34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General and Administrative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4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20,084</w:t>
            </w:r>
          </w:p>
        </w:tc>
        <w:tc>
          <w:tcPr>
            <w:tcW w:w="399" w:type="dxa"/>
            <w:tcBorders/>
            <w:shd w:fill="CCEEFF" w:val="clear"/>
            <w:vAlign w:val="center"/>
          </w:tcPr>
          <w:p>
            <w:pPr>
              <w:pStyle w:val="TableContents"/>
              <w:bidi w:val="0"/>
              <w:spacing w:before="0" w:after="1"/>
              <w:ind w:left="0" w:right="0" w:hanging="0"/>
              <w:jc w:val="left"/>
              <w:rPr/>
            </w:pPr>
            <w:r>
              <w:rPr/>
              <w:t>​</w:t>
            </w:r>
          </w:p>
        </w:tc>
        <w:tc>
          <w:tcPr>
            <w:tcW w:w="35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20,084</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General and administrative expenses for the Company’s continuing operations-international trading segment increased by $20,084, or 100.0%, to $20,084 for the six months ended June 30, 2026 from $nil for the six months ended June 30, 2025. The increase was mainly due to the acquisition of Super International.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Continuing Operations- Corporate Unallocated Operating Adjustments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General and Administrative Expenses</w:t>
      </w:r>
    </w:p>
    <w:tbl>
      <w:tblPr>
        <w:tblW w:w="9328" w:type="dxa"/>
        <w:jc w:val="left"/>
        <w:tblInd w:w="0" w:type="dxa"/>
        <w:tblLayout w:type="fixed"/>
        <w:tblCellMar>
          <w:top w:w="0" w:type="dxa"/>
          <w:left w:w="0" w:type="dxa"/>
          <w:bottom w:w="0" w:type="dxa"/>
          <w:right w:w="0" w:type="dxa"/>
        </w:tblCellMar>
      </w:tblPr>
      <w:tblGrid>
        <w:gridCol w:w="3646"/>
        <w:gridCol w:w="346"/>
        <w:gridCol w:w="211"/>
        <w:gridCol w:w="931"/>
        <w:gridCol w:w="346"/>
        <w:gridCol w:w="211"/>
        <w:gridCol w:w="931"/>
        <w:gridCol w:w="346"/>
        <w:gridCol w:w="211"/>
        <w:gridCol w:w="901"/>
        <w:gridCol w:w="346"/>
        <w:gridCol w:w="586"/>
        <w:gridCol w:w="316"/>
      </w:tblGrid>
      <w:tr>
        <w:trPr/>
        <w:tc>
          <w:tcPr>
            <w:tcW w:w="3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2315210" cy="175260"/>
                      <wp:effectExtent l="0" t="0" r="0" b="0"/>
                      <wp:wrapNone/>
                      <wp:docPr id="592" name="Frame592"/>
                      <a:graphic xmlns:a="http://schemas.openxmlformats.org/drawingml/2006/main">
                        <a:graphicData uri="http://schemas.microsoft.com/office/word/2010/wordprocessingShape">
                          <wps:wsp>
                            <wps:cNvSpPr txBox="1"/>
                            <wps:spPr>
                              <a:xfrm>
                                <a:off x="0" y="0"/>
                                <a:ext cx="2315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219710" cy="175260"/>
                      <wp:effectExtent l="0" t="0" r="0" b="0"/>
                      <wp:wrapNone/>
                      <wp:docPr id="593" name="Frame5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133985" cy="175260"/>
                      <wp:effectExtent l="0" t="0" r="0" b="0"/>
                      <wp:wrapNone/>
                      <wp:docPr id="594" name="Frame5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591185" cy="175260"/>
                      <wp:effectExtent l="0" t="0" r="0" b="0"/>
                      <wp:wrapNone/>
                      <wp:docPr id="595" name="Frame59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219710" cy="175260"/>
                      <wp:effectExtent l="0" t="0" r="0" b="0"/>
                      <wp:wrapNone/>
                      <wp:docPr id="596" name="Frame5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133985" cy="175260"/>
                      <wp:effectExtent l="0" t="0" r="0" b="0"/>
                      <wp:wrapNone/>
                      <wp:docPr id="597" name="Frame5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591185" cy="175260"/>
                      <wp:effectExtent l="0" t="0" r="0" b="0"/>
                      <wp:wrapNone/>
                      <wp:docPr id="598" name="Frame59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219710" cy="175260"/>
                      <wp:effectExtent l="0" t="0" r="0" b="0"/>
                      <wp:wrapNone/>
                      <wp:docPr id="599" name="Frame5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133985" cy="175260"/>
                      <wp:effectExtent l="0" t="0" r="0" b="0"/>
                      <wp:wrapNone/>
                      <wp:docPr id="600" name="Frame6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572135" cy="175260"/>
                      <wp:effectExtent l="0" t="0" r="0" b="0"/>
                      <wp:wrapNone/>
                      <wp:docPr id="601" name="Frame601"/>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219710" cy="175260"/>
                      <wp:effectExtent l="0" t="0" r="0" b="0"/>
                      <wp:wrapNone/>
                      <wp:docPr id="602" name="Frame6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372110" cy="175260"/>
                      <wp:effectExtent l="0" t="0" r="0" b="0"/>
                      <wp:wrapNone/>
                      <wp:docPr id="603" name="Frame603"/>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200660" cy="175260"/>
                      <wp:effectExtent l="0" t="0" r="0" b="0"/>
                      <wp:wrapNone/>
                      <wp:docPr id="604" name="Frame60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6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c>
          <w:tcPr>
            <w:tcW w:w="346" w:type="dxa"/>
            <w:tcBorders/>
            <w:vAlign w:val="center"/>
          </w:tcPr>
          <w:p>
            <w:pPr>
              <w:pStyle w:val="TableContents"/>
              <w:bidi w:val="0"/>
              <w:spacing w:before="0" w:after="1"/>
              <w:ind w:left="0" w:right="0" w:hanging="0"/>
              <w:jc w:val="center"/>
              <w:rPr/>
            </w:pPr>
            <w:r>
              <w:rPr/>
              <w:t>​</w:t>
            </w:r>
          </w:p>
        </w:tc>
        <w:tc>
          <w:tcPr>
            <w:tcW w:w="204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1"/>
              <w:ind w:left="0" w:right="0" w:hanging="0"/>
              <w:jc w:val="center"/>
              <w:rPr/>
            </w:pPr>
            <w:r>
              <w:rPr/>
              <w:t> </w:t>
            </w:r>
          </w:p>
        </w:tc>
      </w:tr>
      <w:tr>
        <w:trPr/>
        <w:tc>
          <w:tcPr>
            <w:tcW w:w="36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1"/>
              <w:ind w:left="0" w:right="0" w:hanging="0"/>
              <w:jc w:val="center"/>
              <w:rPr/>
            </w:pPr>
            <w:r>
              <w:rPr/>
              <w:t> </w:t>
            </w:r>
          </w:p>
        </w:tc>
      </w:tr>
      <w:tr>
        <w:trPr/>
        <w:tc>
          <w:tcPr>
            <w:tcW w:w="36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1"/>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1"/>
              <w:ind w:left="0" w:right="0" w:hanging="0"/>
              <w:jc w:val="center"/>
              <w:rPr/>
            </w:pPr>
            <w:r>
              <w:rPr/>
              <w:t>  ​ ​ ​</w:t>
            </w:r>
          </w:p>
        </w:tc>
        <w:tc>
          <w:tcPr>
            <w:tcW w:w="211" w:type="dxa"/>
            <w:tcBorders/>
            <w:vAlign w:val="center"/>
          </w:tcPr>
          <w:p>
            <w:pPr>
              <w:pStyle w:val="TableContents"/>
              <w:bidi w:val="0"/>
              <w:spacing w:before="0" w:after="1"/>
              <w:ind w:left="0" w:right="0" w:hanging="0"/>
              <w:jc w:val="center"/>
              <w:rPr/>
            </w:pPr>
            <w:r>
              <w:rPr/>
              <w:t>​</w:t>
            </w:r>
          </w:p>
        </w:tc>
        <w:tc>
          <w:tcPr>
            <w:tcW w:w="9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586"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 </w:t>
            </w:r>
          </w:p>
        </w:tc>
      </w:tr>
      <w:tr>
        <w:trPr/>
        <w:tc>
          <w:tcPr>
            <w:tcW w:w="36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General and Administrative Expenses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6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Payroll and Benefits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416,295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555,744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(139,449)</w:t>
            </w:r>
          </w:p>
        </w:tc>
        <w:tc>
          <w:tcPr>
            <w:tcW w:w="346"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Rental and Leases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265,941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324,197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(58,256)</w:t>
            </w:r>
          </w:p>
        </w:tc>
        <w:tc>
          <w:tcPr>
            <w:tcW w:w="346"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Travel and Entertainment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86,204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61,633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24,571</w:t>
            </w:r>
          </w:p>
        </w:tc>
        <w:tc>
          <w:tcPr>
            <w:tcW w:w="346"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39.9</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Legal and Accounting Fees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224,511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342,963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(118,452)</w:t>
            </w:r>
          </w:p>
        </w:tc>
        <w:tc>
          <w:tcPr>
            <w:tcW w:w="346"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Insurance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100,999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136,599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(35,600)</w:t>
            </w:r>
          </w:p>
        </w:tc>
        <w:tc>
          <w:tcPr>
            <w:tcW w:w="346"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13,250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13,250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Recruiting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6,474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(3,090)</w:t>
            </w:r>
          </w:p>
        </w:tc>
        <w:tc>
          <w:tcPr>
            <w:tcW w:w="346"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(47.7)</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369,762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118,894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250,868</w:t>
            </w:r>
          </w:p>
        </w:tc>
        <w:tc>
          <w:tcPr>
            <w:tcW w:w="346" w:type="dxa"/>
            <w:tcBorders/>
            <w:shd w:fill="CCEEFF" w:val="clear"/>
            <w:vAlign w:val="center"/>
          </w:tcPr>
          <w:p>
            <w:pPr>
              <w:pStyle w:val="TableContents"/>
              <w:bidi w:val="0"/>
              <w:spacing w:before="0" w:after="1"/>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General and Administrative Expenses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1,480,346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1,559,754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(79,408)</w:t>
            </w:r>
          </w:p>
        </w:tc>
        <w:tc>
          <w:tcPr>
            <w:tcW w:w="346" w:type="dxa"/>
            <w:tcBorders/>
            <w:vAlign w:val="center"/>
          </w:tcPr>
          <w:p>
            <w:pPr>
              <w:pStyle w:val="TableContents"/>
              <w:bidi w:val="0"/>
              <w:spacing w:before="0" w:after="1"/>
              <w:ind w:left="0" w:right="0" w:hanging="0"/>
              <w:jc w:val="left"/>
              <w:rPr/>
            </w:pPr>
            <w:r>
              <w:rPr/>
              <w:t> </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General and administrative expenses for the Company’s continuing operations- corporate unallocated operating adjustments segment decreased by $79,408, or 5.1%, to $1,480,346 for the six months ended June 30, 2026 from $1,559,754 for the six months ended June 30, 2025. The increase was mainly due to (i) a decrease of $139,449 in payroll and benefits expense due to staff optimization and cost-saving measure; (ii) a decrease of $118,452 of legal and accounting fees as we recorded the accounting fee for annual audit for Fiscal Year 2024 in the first quarter of 2025; (iii) a decrease of $58,256 in rental and leases, primarily due to the termination of one of the Company’s office leases, and (iv) a decrease of $35,600 in insurance expenses resulting from a change in our insurance provider, partially offset by (v) an increase of $250,868 of other administration expenses during the three months ended June 30, 2026, primarily due to consulting fee for disposal of Edward and acquisition of Super International, and (vi) an increase of $24,571 in travel and entertainment expenses as part of business development efforts and client engagement.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Share-based compensation expenses</w:t>
      </w:r>
    </w:p>
    <w:tbl>
      <w:tblPr>
        <w:tblW w:w="8874" w:type="dxa"/>
        <w:jc w:val="left"/>
        <w:tblInd w:w="0" w:type="dxa"/>
        <w:tblLayout w:type="fixed"/>
        <w:tblCellMar>
          <w:top w:w="0" w:type="dxa"/>
          <w:left w:w="0" w:type="dxa"/>
          <w:bottom w:w="0" w:type="dxa"/>
          <w:right w:w="0" w:type="dxa"/>
        </w:tblCellMar>
      </w:tblPr>
      <w:tblGrid>
        <w:gridCol w:w="4081"/>
        <w:gridCol w:w="346"/>
        <w:gridCol w:w="231"/>
        <w:gridCol w:w="744"/>
        <w:gridCol w:w="346"/>
        <w:gridCol w:w="231"/>
        <w:gridCol w:w="744"/>
        <w:gridCol w:w="346"/>
        <w:gridCol w:w="211"/>
        <w:gridCol w:w="571"/>
        <w:gridCol w:w="346"/>
        <w:gridCol w:w="361"/>
        <w:gridCol w:w="316"/>
      </w:tblGrid>
      <w:tr>
        <w:trPr/>
        <w:tc>
          <w:tcPr>
            <w:tcW w:w="4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2591435" cy="175260"/>
                      <wp:effectExtent l="0" t="0" r="0" b="0"/>
                      <wp:wrapNone/>
                      <wp:docPr id="605" name="Frame605"/>
                      <a:graphic xmlns:a="http://schemas.openxmlformats.org/drawingml/2006/main">
                        <a:graphicData uri="http://schemas.microsoft.com/office/word/2010/wordprocessingShape">
                          <wps:wsp>
                            <wps:cNvSpPr txBox="1"/>
                            <wps:spPr>
                              <a:xfrm>
                                <a:off x="0" y="0"/>
                                <a:ext cx="2591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219710" cy="175260"/>
                      <wp:effectExtent l="0" t="0" r="0" b="0"/>
                      <wp:wrapNone/>
                      <wp:docPr id="606" name="Frame6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146685" cy="175260"/>
                      <wp:effectExtent l="0" t="0" r="0" b="0"/>
                      <wp:wrapNone/>
                      <wp:docPr id="607" name="Frame607"/>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472440" cy="175260"/>
                      <wp:effectExtent l="0" t="0" r="0" b="0"/>
                      <wp:wrapNone/>
                      <wp:docPr id="608" name="Frame608"/>
                      <a:graphic xmlns:a="http://schemas.openxmlformats.org/drawingml/2006/main">
                        <a:graphicData uri="http://schemas.microsoft.com/office/word/2010/wordprocessingShape">
                          <wps:wsp>
                            <wps:cNvSpPr txBox="1"/>
                            <wps:spPr>
                              <a:xfrm>
                                <a:off x="0" y="0"/>
                                <a:ext cx="472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219710" cy="175260"/>
                      <wp:effectExtent l="0" t="0" r="0" b="0"/>
                      <wp:wrapNone/>
                      <wp:docPr id="609" name="Frame6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146685" cy="175260"/>
                      <wp:effectExtent l="0" t="0" r="0" b="0"/>
                      <wp:wrapNone/>
                      <wp:docPr id="610" name="Frame610"/>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472440" cy="175260"/>
                      <wp:effectExtent l="0" t="0" r="0" b="0"/>
                      <wp:wrapNone/>
                      <wp:docPr id="611" name="Frame611"/>
                      <a:graphic xmlns:a="http://schemas.openxmlformats.org/drawingml/2006/main">
                        <a:graphicData uri="http://schemas.microsoft.com/office/word/2010/wordprocessingShape">
                          <wps:wsp>
                            <wps:cNvSpPr txBox="1"/>
                            <wps:spPr>
                              <a:xfrm>
                                <a:off x="0" y="0"/>
                                <a:ext cx="472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219710" cy="175260"/>
                      <wp:effectExtent l="0" t="0" r="0" b="0"/>
                      <wp:wrapNone/>
                      <wp:docPr id="612" name="Frame6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133985" cy="175260"/>
                      <wp:effectExtent l="0" t="0" r="0" b="0"/>
                      <wp:wrapNone/>
                      <wp:docPr id="613" name="Frame6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362585" cy="175260"/>
                      <wp:effectExtent l="0" t="0" r="0" b="0"/>
                      <wp:wrapNone/>
                      <wp:docPr id="614" name="Frame61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219710" cy="175260"/>
                      <wp:effectExtent l="0" t="0" r="0" b="0"/>
                      <wp:wrapNone/>
                      <wp:docPr id="615" name="Frame6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229235" cy="175260"/>
                      <wp:effectExtent l="0" t="0" r="0" b="0"/>
                      <wp:wrapNone/>
                      <wp:docPr id="616" name="Frame61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200660" cy="175260"/>
                      <wp:effectExtent l="0" t="0" r="0" b="0"/>
                      <wp:wrapNone/>
                      <wp:docPr id="617" name="Frame61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29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c>
          <w:tcPr>
            <w:tcW w:w="346" w:type="dxa"/>
            <w:tcBorders/>
            <w:vAlign w:val="center"/>
          </w:tcPr>
          <w:p>
            <w:pPr>
              <w:pStyle w:val="TableContents"/>
              <w:bidi w:val="0"/>
              <w:spacing w:before="0" w:after="1"/>
              <w:ind w:left="0" w:right="0" w:hanging="0"/>
              <w:jc w:val="center"/>
              <w:rPr/>
            </w:pPr>
            <w:r>
              <w:rPr/>
              <w:t>​</w:t>
            </w:r>
          </w:p>
        </w:tc>
        <w:tc>
          <w:tcPr>
            <w:tcW w:w="148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1"/>
              <w:ind w:left="0" w:right="0" w:hanging="0"/>
              <w:jc w:val="center"/>
              <w:rPr/>
            </w:pPr>
            <w:r>
              <w:rPr/>
              <w:t> </w:t>
            </w:r>
          </w:p>
        </w:tc>
      </w:tr>
      <w:tr>
        <w:trPr/>
        <w:tc>
          <w:tcPr>
            <w:tcW w:w="40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w:t>
            </w:r>
          </w:p>
        </w:tc>
        <w:tc>
          <w:tcPr>
            <w:tcW w:w="9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w:t>
            </w:r>
          </w:p>
        </w:tc>
        <w:tc>
          <w:tcPr>
            <w:tcW w:w="3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1"/>
              <w:ind w:left="0" w:right="0" w:hanging="0"/>
              <w:jc w:val="center"/>
              <w:rPr/>
            </w:pPr>
            <w:r>
              <w:rPr/>
              <w:t> </w:t>
            </w:r>
          </w:p>
        </w:tc>
      </w:tr>
      <w:tr>
        <w:trPr/>
        <w:tc>
          <w:tcPr>
            <w:tcW w:w="40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1"/>
              <w:ind w:left="0" w:right="0" w:hanging="0"/>
              <w:jc w:val="center"/>
              <w:rPr/>
            </w:pPr>
            <w:r>
              <w:rPr/>
              <w:t>  ​ ​ ​</w:t>
            </w:r>
          </w:p>
        </w:tc>
        <w:tc>
          <w:tcPr>
            <w:tcW w:w="9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1"/>
              <w:ind w:left="0" w:right="0" w:hanging="0"/>
              <w:jc w:val="center"/>
              <w:rPr/>
            </w:pPr>
            <w:r>
              <w:rPr/>
              <w:t>  ​ ​ ​</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36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 </w:t>
            </w:r>
          </w:p>
        </w:tc>
      </w:tr>
      <w:tr>
        <w:trPr/>
        <w:tc>
          <w:tcPr>
            <w:tcW w:w="40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(Unaudited) Share-based compensation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28,364</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26,629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1,735</w:t>
            </w:r>
          </w:p>
        </w:tc>
        <w:tc>
          <w:tcPr>
            <w:tcW w:w="346" w:type="dxa"/>
            <w:tcBorders/>
            <w:shd w:fill="CCEEFF" w:val="clear"/>
            <w:vAlign w:val="center"/>
          </w:tcPr>
          <w:p>
            <w:pPr>
              <w:pStyle w:val="TableContents"/>
              <w:bidi w:val="0"/>
              <w:spacing w:before="0" w:after="1"/>
              <w:ind w:left="0" w:right="0" w:hanging="0"/>
              <w:jc w:val="left"/>
              <w:rPr/>
            </w:pPr>
            <w:r>
              <w:rPr/>
              <w:t> </w:t>
            </w:r>
          </w:p>
        </w:tc>
        <w:tc>
          <w:tcPr>
            <w:tcW w:w="3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Share-based compensation expenses were $28,364 and $26,629 for the six months ended June 30, 2026 and 2025, respectively, representing an increase of $1,735, or 6.5%.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See also Note 12 – Stock Based Compensation for more details in our Consolidated Financial Statements included in this quarterly report.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Other Income (Expenses), net</w:t>
      </w:r>
    </w:p>
    <w:tbl>
      <w:tblPr>
        <w:tblW w:w="8263" w:type="dxa"/>
        <w:jc w:val="left"/>
        <w:tblInd w:w="0" w:type="dxa"/>
        <w:tblLayout w:type="fixed"/>
        <w:tblCellMar>
          <w:top w:w="0" w:type="dxa"/>
          <w:left w:w="0" w:type="dxa"/>
          <w:bottom w:w="0" w:type="dxa"/>
          <w:right w:w="0" w:type="dxa"/>
        </w:tblCellMar>
      </w:tblPr>
      <w:tblGrid>
        <w:gridCol w:w="2581"/>
        <w:gridCol w:w="346"/>
        <w:gridCol w:w="211"/>
        <w:gridCol w:w="931"/>
        <w:gridCol w:w="346"/>
        <w:gridCol w:w="211"/>
        <w:gridCol w:w="796"/>
        <w:gridCol w:w="346"/>
        <w:gridCol w:w="211"/>
        <w:gridCol w:w="901"/>
        <w:gridCol w:w="346"/>
        <w:gridCol w:w="721"/>
        <w:gridCol w:w="316"/>
      </w:tblGrid>
      <w:tr>
        <w:trPr/>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1638935" cy="175260"/>
                      <wp:effectExtent l="0" t="0" r="0" b="0"/>
                      <wp:wrapNone/>
                      <wp:docPr id="618" name="Frame618"/>
                      <a:graphic xmlns:a="http://schemas.openxmlformats.org/drawingml/2006/main">
                        <a:graphicData uri="http://schemas.microsoft.com/office/word/2010/wordprocessingShape">
                          <wps:wsp>
                            <wps:cNvSpPr txBox="1"/>
                            <wps:spPr>
                              <a:xfrm>
                                <a:off x="0" y="0"/>
                                <a:ext cx="1638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219710" cy="175260"/>
                      <wp:effectExtent l="0" t="0" r="0" b="0"/>
                      <wp:wrapNone/>
                      <wp:docPr id="619" name="Frame6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133985" cy="175260"/>
                      <wp:effectExtent l="0" t="0" r="0" b="0"/>
                      <wp:wrapNone/>
                      <wp:docPr id="620" name="Frame6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591185" cy="175260"/>
                      <wp:effectExtent l="0" t="0" r="0" b="0"/>
                      <wp:wrapNone/>
                      <wp:docPr id="621" name="Frame62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219710" cy="175260"/>
                      <wp:effectExtent l="0" t="0" r="0" b="0"/>
                      <wp:wrapNone/>
                      <wp:docPr id="622" name="Frame6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133985" cy="175260"/>
                      <wp:effectExtent l="0" t="0" r="0" b="0"/>
                      <wp:wrapNone/>
                      <wp:docPr id="623" name="Frame6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505460" cy="175260"/>
                      <wp:effectExtent l="0" t="0" r="0" b="0"/>
                      <wp:wrapNone/>
                      <wp:docPr id="624" name="Frame62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219710" cy="175260"/>
                      <wp:effectExtent l="0" t="0" r="0" b="0"/>
                      <wp:wrapNone/>
                      <wp:docPr id="625" name="Frame6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133985" cy="175260"/>
                      <wp:effectExtent l="0" t="0" r="0" b="0"/>
                      <wp:wrapNone/>
                      <wp:docPr id="626" name="Frame6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572135" cy="175260"/>
                      <wp:effectExtent l="0" t="0" r="0" b="0"/>
                      <wp:wrapNone/>
                      <wp:docPr id="627" name="Frame627"/>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219710" cy="175260"/>
                      <wp:effectExtent l="0" t="0" r="0" b="0"/>
                      <wp:wrapNone/>
                      <wp:docPr id="628" name="Frame6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457835" cy="175260"/>
                      <wp:effectExtent l="0" t="0" r="0" b="0"/>
                      <wp:wrapNone/>
                      <wp:docPr id="629" name="Frame629"/>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200660" cy="175260"/>
                      <wp:effectExtent l="0" t="0" r="0" b="0"/>
                      <wp:wrapNone/>
                      <wp:docPr id="630" name="Frame63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49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c>
          <w:tcPr>
            <w:tcW w:w="346" w:type="dxa"/>
            <w:tcBorders/>
            <w:vAlign w:val="center"/>
          </w:tcPr>
          <w:p>
            <w:pPr>
              <w:pStyle w:val="TableContents"/>
              <w:bidi w:val="0"/>
              <w:spacing w:before="0" w:after="1"/>
              <w:ind w:left="0" w:right="0" w:hanging="0"/>
              <w:jc w:val="center"/>
              <w:rPr/>
            </w:pPr>
            <w:r>
              <w:rPr/>
              <w:t>​</w:t>
            </w:r>
          </w:p>
        </w:tc>
        <w:tc>
          <w:tcPr>
            <w:tcW w:w="217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1"/>
              <w:ind w:left="0" w:right="0" w:hanging="0"/>
              <w:jc w:val="center"/>
              <w:rPr/>
            </w:pPr>
            <w:r>
              <w:rPr/>
              <w:t> </w:t>
            </w:r>
          </w:p>
        </w:tc>
      </w:tr>
      <w:tr>
        <w:trPr/>
        <w:tc>
          <w:tcPr>
            <w:tcW w:w="25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1"/>
              <w:ind w:left="0" w:right="0" w:hanging="0"/>
              <w:jc w:val="center"/>
              <w:rPr/>
            </w:pPr>
            <w:r>
              <w:rPr/>
              <w:t> </w:t>
            </w:r>
          </w:p>
        </w:tc>
      </w:tr>
      <w:tr>
        <w:trPr/>
        <w:tc>
          <w:tcPr>
            <w:tcW w:w="25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1"/>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1"/>
              <w:ind w:left="0" w:right="0" w:hanging="0"/>
              <w:jc w:val="center"/>
              <w:rPr/>
            </w:pPr>
            <w:r>
              <w:rPr/>
              <w:t>  ​ ​ ​</w:t>
            </w:r>
          </w:p>
        </w:tc>
        <w:tc>
          <w:tcPr>
            <w:tcW w:w="211" w:type="dxa"/>
            <w:tcBorders/>
            <w:vAlign w:val="center"/>
          </w:tcPr>
          <w:p>
            <w:pPr>
              <w:pStyle w:val="TableContents"/>
              <w:bidi w:val="0"/>
              <w:spacing w:before="0" w:after="1"/>
              <w:ind w:left="0" w:right="0" w:hanging="0"/>
              <w:jc w:val="center"/>
              <w:rPr/>
            </w:pPr>
            <w:r>
              <w:rPr/>
              <w:t>​</w:t>
            </w:r>
          </w:p>
        </w:tc>
        <w:tc>
          <w:tcPr>
            <w:tcW w:w="9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72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 </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415,837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480,318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(64,481)</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Loan Interest expense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(12,533)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(13,406)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(873)</w:t>
            </w:r>
          </w:p>
        </w:tc>
        <w:tc>
          <w:tcPr>
            <w:tcW w:w="34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Credit Card Interest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Premium Finance Interest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(1,531)</w:t>
            </w:r>
          </w:p>
        </w:tc>
        <w:tc>
          <w:tcPr>
            <w:tcW w:w="346" w:type="dxa"/>
            <w:tcBorders/>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Interest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(14,499)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(16,872)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(2,373)</w:t>
            </w:r>
          </w:p>
        </w:tc>
        <w:tc>
          <w:tcPr>
            <w:tcW w:w="346" w:type="dxa"/>
            <w:tcBorders/>
            <w:shd w:fill="CCEEFF" w:val="cle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1,002,778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29,756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973,022</w:t>
            </w:r>
          </w:p>
        </w:tc>
        <w:tc>
          <w:tcPr>
            <w:tcW w:w="34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3,270.0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(loss) on disposal of ETE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(297,610)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(297,610)</w:t>
            </w:r>
          </w:p>
        </w:tc>
        <w:tc>
          <w:tcPr>
            <w:tcW w:w="34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income, net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1,106,506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493,202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613,304</w:t>
            </w:r>
          </w:p>
        </w:tc>
        <w:tc>
          <w:tcPr>
            <w:tcW w:w="346" w:type="dxa"/>
            <w:tcBorders/>
            <w:vAlign w:val="center"/>
          </w:tcPr>
          <w:p>
            <w:pPr>
              <w:pStyle w:val="TableContents"/>
              <w:bidi w:val="0"/>
              <w:spacing w:before="0" w:after="1"/>
              <w:ind w:left="0" w:right="0" w:hanging="0"/>
              <w:jc w:val="left"/>
              <w:rPr/>
            </w:pPr>
            <w:r>
              <w:rPr/>
              <w:t>​</w:t>
            </w:r>
          </w:p>
        </w:tc>
        <w:tc>
          <w:tcPr>
            <w:tcW w:w="7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Interest income from continuing operations was $415,837 for the six months ended June 30, 2026, compared to $480,318 for the six months ended June 30, 2025, representing a decrease of $64,481 or 13.4%. The decrease was primarily due to a reduction in average outstanding loan balances as certain borrowers repaid a portion of their loans, resulting in lower interest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Interest expense incurred from our continuing operations was $14,499 for the six months ended June 30, 2026, which decreased by $2,373, or 14.1%, from $16,872 for the six months ended June 30, 2025, mainly due to lower interest incurred on premium finance arrangements.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Other income, net from continuing operations was $1,002,778 for the six months ended June 30, 2026, compared to $29,756 for the six months ended June 30, 2025, representing an increase of $973,022 or 3,270.0%. The increase was primarily driven by higher foreign exchange gains resulting from currency rate fluctuations.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Income Tax (Benefits)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income tax provision for continuing operations was $5,610 for the six months ended June 30, 2026, compared with income tax provision of approximately $18,342 for the same period in 2025.</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Net Loss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a result of the above factors, we had a net loss of $545,220 from our continuing operations for the six months ended June 30, 2026, compared to a net loss of $1,266,437 for the same period in 2025.</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Discontinued Operations -Parallel- Import vehicle Business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disclosed in Note 6 – Discontinued Operations, our Board approved the discontinuation of our parallel-import vehicle business on March 3, 2025. The Company fully exited its parallel-import vehicle business during the year ended December 31, 2024. The Company did not generate any income or incur any expenses from discontinued operations for the six months ended June 30, 2026.</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Historically, our primary uses of cash have been to finance the working capital needs. We believe that we will be able to fund current operations and other commitments for at least the next 12 months from operating cash flow and proceeds from the capital infusion which were held in our cash and cash equivalents.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may, however, require additional cash resources due to changes in business conditions or other future developments. If these sources are insufficient to satisfy our cash requirements, we may seek to sell additional equity or debt securities or obtain a credit facility. The sale of additional equity or equity-linked securities could result in additional dilution to stockholders. The incurrence of indebtedness would result in increased debt service obligations and could result in operating and financial covenants that would restrict operations. Financing may not be available in amounts or on terms acceptable to us, or at all.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2026, we had current assets of $75.7 million, consisting of cash and cash equivalents of $2.1 million, $0.7 million of accounts receivable, $30.0 million in loan receivables, $1.0 million of other receivables, $0.8 million of prepaid expenses and other current assets, and $41.1 million of receivable from withdrawal of investment deposit from continuing operations. Our current liabilities, all of which related to continuing operations, totaled approximately $1.6 million, consisting of $0.7 million of accounts payable, $0.5 million of operating lease liabilities, $0.3 million of other payables, $37,279 of the current portion of long-term borrowings and loan payable from Premium Finance. The Company also had $0.6 million of long-term borrowings payable, and $$44,950 of operating lease liabilities, long-term portion.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summarizes our cash flows for the six months ended June 30, 2026 and 2025, with continuing operations and discontinued operations presented separately:</w:t>
      </w:r>
    </w:p>
    <w:p>
      <w:pPr>
        <w:pStyle w:val="TextBody"/>
        <w:bidi w:val="0"/>
        <w:spacing w:before="0" w:after="240"/>
        <w:ind w:left="0" w:right="0" w:hanging="0"/>
        <w:jc w:val="both"/>
        <w:rPr/>
      </w:pPr>
      <w:r>
        <w:rPr/>
        <w:t>​</w:t>
      </w:r>
    </w:p>
    <w:tbl>
      <w:tblPr>
        <w:tblW w:w="9157" w:type="dxa"/>
        <w:jc w:val="left"/>
        <w:tblInd w:w="0" w:type="dxa"/>
        <w:tblLayout w:type="fixed"/>
        <w:tblCellMar>
          <w:top w:w="0" w:type="dxa"/>
          <w:left w:w="0" w:type="dxa"/>
          <w:bottom w:w="0" w:type="dxa"/>
          <w:right w:w="0" w:type="dxa"/>
        </w:tblCellMar>
      </w:tblPr>
      <w:tblGrid>
        <w:gridCol w:w="5791"/>
        <w:gridCol w:w="346"/>
        <w:gridCol w:w="211"/>
        <w:gridCol w:w="1156"/>
        <w:gridCol w:w="346"/>
        <w:gridCol w:w="211"/>
        <w:gridCol w:w="1096"/>
      </w:tblGrid>
      <w:tr>
        <w:trPr/>
        <w:tc>
          <w:tcPr>
            <w:tcW w:w="5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1">
                      <wp:simplePos x="0" y="0"/>
                      <wp:positionH relativeFrom="character">
                        <wp:align>left</wp:align>
                      </wp:positionH>
                      <wp:positionV relativeFrom="line">
                        <wp:posOffset>635</wp:posOffset>
                      </wp:positionV>
                      <wp:extent cx="3677285" cy="175260"/>
                      <wp:effectExtent l="0" t="0" r="0" b="0"/>
                      <wp:wrapNone/>
                      <wp:docPr id="631" name="Frame631"/>
                      <a:graphic xmlns:a="http://schemas.openxmlformats.org/drawingml/2006/main">
                        <a:graphicData uri="http://schemas.microsoft.com/office/word/2010/wordprocessingShape">
                          <wps:wsp>
                            <wps:cNvSpPr txBox="1"/>
                            <wps:spPr>
                              <a:xfrm>
                                <a:off x="0" y="0"/>
                                <a:ext cx="3677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219710" cy="175260"/>
                      <wp:effectExtent l="0" t="0" r="0" b="0"/>
                      <wp:wrapNone/>
                      <wp:docPr id="632" name="Frame6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133985" cy="175260"/>
                      <wp:effectExtent l="0" t="0" r="0" b="0"/>
                      <wp:wrapNone/>
                      <wp:docPr id="633" name="Frame6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4">
                      <wp:simplePos x="0" y="0"/>
                      <wp:positionH relativeFrom="character">
                        <wp:align>left</wp:align>
                      </wp:positionH>
                      <wp:positionV relativeFrom="line">
                        <wp:posOffset>635</wp:posOffset>
                      </wp:positionV>
                      <wp:extent cx="734060" cy="175260"/>
                      <wp:effectExtent l="0" t="0" r="0" b="0"/>
                      <wp:wrapNone/>
                      <wp:docPr id="634" name="Frame634"/>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219710" cy="175260"/>
                      <wp:effectExtent l="0" t="0" r="0" b="0"/>
                      <wp:wrapNone/>
                      <wp:docPr id="635" name="Frame6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6">
                      <wp:simplePos x="0" y="0"/>
                      <wp:positionH relativeFrom="character">
                        <wp:align>left</wp:align>
                      </wp:positionH>
                      <wp:positionV relativeFrom="line">
                        <wp:posOffset>635</wp:posOffset>
                      </wp:positionV>
                      <wp:extent cx="133985" cy="175260"/>
                      <wp:effectExtent l="0" t="0" r="0" b="0"/>
                      <wp:wrapNone/>
                      <wp:docPr id="636" name="Frame6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7">
                      <wp:simplePos x="0" y="0"/>
                      <wp:positionH relativeFrom="character">
                        <wp:align>left</wp:align>
                      </wp:positionH>
                      <wp:positionV relativeFrom="line">
                        <wp:posOffset>635</wp:posOffset>
                      </wp:positionV>
                      <wp:extent cx="695960" cy="175260"/>
                      <wp:effectExtent l="0" t="0" r="0" b="0"/>
                      <wp:wrapNone/>
                      <wp:docPr id="637" name="Frame637"/>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7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30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57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13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7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cash provided by (used in)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(865,760)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1,333,668</w:t>
            </w:r>
          </w:p>
        </w:tc>
      </w:tr>
      <w:tr>
        <w:trPr/>
        <w:tc>
          <w:tcPr>
            <w:tcW w:w="57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used in operations-continuing operations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(865,760)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(1,206,833)</w:t>
            </w:r>
          </w:p>
        </w:tc>
      </w:tr>
      <w:tr>
        <w:trPr/>
        <w:tc>
          <w:tcPr>
            <w:tcW w:w="57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provided by operations-discontinued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2,540,501</w:t>
            </w:r>
          </w:p>
        </w:tc>
      </w:tr>
      <w:tr>
        <w:trPr/>
        <w:tc>
          <w:tcPr>
            <w:tcW w:w="57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cash used in investing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(68,610,348)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(2,661,150)</w:t>
            </w:r>
          </w:p>
        </w:tc>
      </w:tr>
      <w:tr>
        <w:trPr/>
        <w:tc>
          <w:tcPr>
            <w:tcW w:w="57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used in investing activities-continuing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(68,610,348)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(2,661,150)</w:t>
            </w:r>
          </w:p>
        </w:tc>
      </w:tr>
      <w:tr>
        <w:trPr/>
        <w:tc>
          <w:tcPr>
            <w:tcW w:w="57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cash provided by (used in) financing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71,386,495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(138,294)</w:t>
            </w:r>
          </w:p>
        </w:tc>
      </w:tr>
      <w:tr>
        <w:trPr/>
        <w:tc>
          <w:tcPr>
            <w:tcW w:w="57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provided by (used in) financing activities-continuing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71,386,495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(138,294)</w:t>
            </w:r>
          </w:p>
        </w:tc>
      </w:tr>
      <w:tr>
        <w:trPr/>
        <w:tc>
          <w:tcPr>
            <w:tcW w:w="57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(decrease) increase in cash</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1,910,387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(1,465,776)</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Operating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used in operating activities from continuing operations was $0.8 million for the six months ended June 30, 2026. The negative cash flow was primarily due to (i) a net loss of $0.5 million during the six months ended June 30, 2026, and (ii) an increase of $0.6 million in prepaid expenses and other current assets, (iii) a decrease of $0.3 million in other payables and other current liabilities, and (iv) a decrease of $0.3 million in operating lease liabilities, partially offset by (v) a decrease of $0.2 million in other receivables, and (vi) $0.3 million in amortization of operating lease right-of-use assets and intangible assets.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used in operating activities from continuing operations was $1.2 million for the six months ended June 30, 2025. This was primarily attributable to (i) a net loss of $1.3 million, and (ii) an increase of $0.5 million in other receivables, partially offset by (iii) $0.2 million in amortization of operating lease right-of-use assets and intangible assets, and (iv) a decrease of $0.2 million in prepaid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provided by operating activities from discontinued operations was $nil for the six months ended June 30,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provided by operating activities from discontinued operations was $2.5 million for the six months ended June 30, 2025, primarily due to the collection of $2.5 million in accounts receivable resulting from vehicle sales.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Investing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used in investing activities from continuing operations was approximately $68.6 million for the six months ended June 30, 2026, including (i) $41.1 million in deposit on long-term investment, (ii) $26.5 million short-term loans receivable from third parties, (iii) $5.0 million in acquisition of business, and offset by (iii) $4.0 million in proceeds of repayment from these loans.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six months ended June 30, 2025, net cash used in investing activities was $2.7 million, including (i) $3.5 million in short-term loans receivable from third parties, and offset by (ii) $0.8 million proceeds of repayment from these loans.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were no investing activities related to discontinued operations for the six months ended June 30, 2026 and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Financing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provided by financing activities from continuing operations was $71,386,495 for the six months ended June 30, 2026, which consisted of (i) net proceeds of $40,140,000 from a private placement, (ii) net proceeds of $30,947,851 from issuances of Class A common stock under an at-the-market offering, and (iii) proceeds of $400,000 from the issuance of Class B common stock pursuant to a stock subscription agreement, partially offset by (iv) net repayments of premium financing obligations of $82,650 and (v) net repayments of long-term borrowings of $18,706.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used in financing activities from continuing operations was $138,294 for the six months ended June 30, 2025, which consisted of (i) net repayment of premium finance of $120,461, and (ii) net repayment of long-term borrowings of $17,833.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were no financing activities related to discontinued operations for the six months ended June 30, 2026 and 2025.</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2026 ATM Offering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31, 2026, the Company entered into a Sales Agreement with AC Sunshine Securities LLC, pursuant to which the Company may, from time to time, offer and sell shares of its Class A Common Stock having an aggregate offering price of up to $100,000,000 through an “at-the-market” offering program. The following “Use of Proceeds” information relates to the at-the-market offering program (the “ATM Offering”) established pursuant to the registration statement on Form S-3 (Registration Number 333-281820), which was declared effective by the SEC on September 6, 2024 and a prospectus supplement filed with the SEC on April 2, 2026. Under the ATM Offering, we may offer and sell shares of our Class A Common Stock from time to time, for an aggregate offering price of up to $70,000,000, through AC Sunshine Securities LLC, acting as our sales agent (the “Sales Agent”). We will pay the Sales Agent a commission of 3.0% of the aggregate gross proceeds from each sale of shares under the ATM Offering.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June 26, 2026, we and the Sales Agent entered into a Mutual Termination Agreement, pursuant to which we mutually agreed to terminate the Sales Agreement dated March 31, 2026, effective as of the close of business on June 26, 2026. The Company had an 1-for-200 reverse stock split that became effective at 8:00 a.m., Eastern Time, on April 20, 2026, and the Company’s Class A common stock began trading on a split-adjusted basis on April 29, 2026. Prior to the effectiveness of such reverse stock split, we sold an aggregate of 355,000,000 shares of Class A common stock pursuant to the Sales Agreement, representing 1,775,000 shares of Class A common stock after giving effect to the reverse stock split. From April 29, 2026 through June 18, 2026, after the Class A common stock began trading on a split-adjusted basis, we sold an additional 1,000,000 shares of Class A common stock pursuant to the Sales Agreement. Accordingly, prior to the termination of the Sales Agreement, we sold an aggregate of 2,775,000 shares of Class A common stock pursuant to the Sales Agreement, after giving effect to the reverse stock split.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incurred approximately $3.7 million in expenses in connection with the ATM Offering, including $3.6 million in expenses paid to or for the account of the Sales Agent, commissions and clearing fees, and $0.1 million in other expenses. None of the offering expenses consisted of payments to any directors or officers of the Company or their associates, any persons owning 10% or more of our equity securities, or any of our affiliates. As of the date of this quarterly report, after deducting offering expenses, we received net proceeds of approximately $30.9 million from the ATM Offering, of which approximately $3.5 million was used to acquire Super International. None of such net proceeds were paid, directly or indirectly, to any of our directors or officers or their associates, any person owning 10% or more of our equity securities, or any of our affiliates.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Off-Balance Sheet Arrangements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do not currently have any off-balance sheet financing arrangements as defined under the rules and regulations of the SEC,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Critical Accounting Policies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preparation of financial statements and related disclosures in conformity with GAAP and the Company’s discussion and analysis of its financial condition and operating results require the Company’s management to make judgments, assumptions, and estimates that affect the amounts reported. Note 2, “Summary of Significant Accounting Policies” of the Notes to Condensed Consolidated Financial Statements in Part I, Item 1 of this Form 10-Q and in the Notes to Consolidated Financial Statements in Part II, Item 8 of the Annual Report describe the significant accounting policies and methods used in the preparation of the Company’s condensed consolidated financial statements. There have been no material changes to the Company’s critical accounting estimates since the Annual Report.</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sz w:val="20"/>
        </w:rPr>
      </w:pPr>
      <w:bookmarkStart w:id="1408" w:name="Item3QuantitativeandQualitativeDisclosur"/>
      <w:bookmarkStart w:id="1409" w:name="_3bdf1c77_1ff3_41a6_a629_f463806bf8db"/>
      <w:bookmarkEnd w:id="1408"/>
      <w:bookmarkEnd w:id="1409"/>
      <w:r>
        <w:rPr>
          <w:rFonts w:ascii="Times New Roman;Times;serif" w:hAnsi="Times New Roman;Times;serif"/>
          <w:b w:val="false"/>
          <w:sz w:val="20"/>
        </w:rPr>
        <w:t>Item 3. Quantitative and Qualitative Disclosures About Market Risk.</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a smaller reporting company, we are not required to provide this information.</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val="false"/>
          <w:sz w:val="20"/>
        </w:rPr>
      </w:pPr>
      <w:bookmarkStart w:id="1410" w:name="Item4ControlsandProcedures_521476"/>
      <w:bookmarkStart w:id="1411" w:name="_b5b57fb5_d61a_4b6a_a974_acd43a4fcefb"/>
      <w:bookmarkEnd w:id="1410"/>
      <w:bookmarkEnd w:id="1411"/>
      <w:r>
        <w:rPr>
          <w:rFonts w:ascii="Times New Roman;Times;serif" w:hAnsi="Times New Roman;Times;serif"/>
          <w:b w:val="false"/>
          <w:sz w:val="20"/>
        </w:rPr>
        <w:t>Item 4. Controls and Procedures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Disclosure Controls and Procedures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Evaluation of Disclosure Controls and Procedures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maintain disclosure controls and procedures (as defined in Rules 13a-15(e) and 15d-15(e) of the Securities Exchange Act of 1934 (the “Exchange Act”) that are designed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principal executive and principal financial officers, as appropriate, to allow timely decisions regarding required disclosure. In designing and evaluating the disclosure controls and procedures, we recognize that no controls and procedures, no matter how well designed and operated, can provide absolute assurance of achieving the desired control objectives.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accordance with Rules 13a-15(b) and 15d-15(b) of the Exchange Act, management, under the supervision and with the participation of our principal executive and principal financial officers, carried out an evaluation of the effectiveness of our disclosure controls and procedures as of June 30, 2026 and determined that the disclosure controls and procedures were ineffective at a reasonable assurance level as of that date.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 change occurred in our internal control over financial reporting (as defined in Rules 13a-15(f) and 15d -15(f) of the Exchange Act) during the quarter ended June 30, 2026, that has materially affected, or is reasonably likely to materially affect, our internal control over financial reporting.</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412" w:name="_1532ac80_545b_49d9_ba60_e750f0a0eae1"/>
      <w:bookmarkEnd w:id="1412"/>
      <w:r>
        <w:rPr>
          <w:rFonts w:ascii="Times New Roman;Times;serif" w:hAnsi="Times New Roman;Times;serif"/>
          <w:b/>
          <w:sz w:val="20"/>
        </w:rPr>
        <w:t>CHEETAH NET SUPPLY CHAIN SERVICE INC.</w:t>
      </w:r>
    </w:p>
    <w:p>
      <w:pPr>
        <w:pStyle w:val="TextBody"/>
        <w:bidi w:val="0"/>
        <w:spacing w:before="0" w:after="240"/>
        <w:ind w:left="0" w:right="0" w:hanging="0"/>
        <w:jc w:val="center"/>
        <w:rPr>
          <w:rFonts w:ascii="Times New Roman;Times;serif" w:hAnsi="Times New Roman;Times;serif"/>
          <w:b/>
          <w:sz w:val="20"/>
        </w:rPr>
      </w:pPr>
      <w:bookmarkStart w:id="1413" w:name="PARTIIOTHERINFORMATION_538776"/>
      <w:bookmarkEnd w:id="1413"/>
      <w:r>
        <w:rPr>
          <w:rFonts w:ascii="Times New Roman;Times;serif" w:hAnsi="Times New Roman;Times;serif"/>
          <w:b/>
          <w:sz w:val="20"/>
        </w:rPr>
        <w:t>PART II - OTHER INFORMATION</w:t>
      </w:r>
    </w:p>
    <w:p>
      <w:pPr>
        <w:pStyle w:val="TextBody"/>
        <w:bidi w:val="0"/>
        <w:spacing w:before="0" w:after="200"/>
        <w:ind w:left="0" w:right="0" w:hanging="0"/>
        <w:jc w:val="both"/>
        <w:rPr>
          <w:rFonts w:ascii="Times New Roman;Times;serif" w:hAnsi="Times New Roman;Times;serif"/>
          <w:b w:val="false"/>
          <w:sz w:val="20"/>
        </w:rPr>
      </w:pPr>
      <w:bookmarkStart w:id="1414" w:name="Item1LegalProceedings_569000"/>
      <w:bookmarkEnd w:id="1414"/>
      <w:r>
        <w:rPr>
          <w:rFonts w:ascii="Times New Roman;Times;serif" w:hAnsi="Times New Roman;Times;serif"/>
          <w:b w:val="false"/>
          <w:sz w:val="20"/>
        </w:rPr>
        <w:t>Item 1. Legal Proceedings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are not currently involved in any material legal proceedings. From time-to-time we are, and we anticipate that we will be, involved in legal proceedings, claims, and litigation arising in the ordinary course of our business and otherwise. The ultimate costs to resolve any such matters could have a material adverse effect on our financial statements. We could be forced to incur material expenses with respect to these legal proceedings, and in the event that there is an outcome in any that is adverse to us, our financial position and prospects could be harmed.</w:t>
      </w:r>
    </w:p>
    <w:p>
      <w:pPr>
        <w:pStyle w:val="TextBody"/>
        <w:bidi w:val="0"/>
        <w:spacing w:before="0" w:after="240"/>
        <w:ind w:left="0" w:right="0" w:hanging="0"/>
        <w:jc w:val="both"/>
        <w:rPr/>
      </w:pPr>
      <w:r>
        <w:rPr/>
        <w:t>​</w:t>
      </w:r>
    </w:p>
    <w:p>
      <w:pPr>
        <w:pStyle w:val="TextBody"/>
        <w:bidi w:val="0"/>
        <w:spacing w:before="0" w:after="200"/>
        <w:ind w:left="0" w:right="0" w:hanging="0"/>
        <w:jc w:val="both"/>
        <w:rPr>
          <w:rFonts w:ascii="Times New Roman;Times;serif" w:hAnsi="Times New Roman;Times;serif"/>
          <w:b w:val="false"/>
          <w:sz w:val="20"/>
        </w:rPr>
      </w:pPr>
      <w:bookmarkStart w:id="1415" w:name="Item1ARiskFactors_127542"/>
      <w:bookmarkStart w:id="1416" w:name="_9893d2da_29f0_4579_ba24_95b7cb3276d6"/>
      <w:bookmarkEnd w:id="1415"/>
      <w:bookmarkEnd w:id="1416"/>
      <w:r>
        <w:rPr>
          <w:rFonts w:ascii="Times New Roman;Times;serif" w:hAnsi="Times New Roman;Times;serif"/>
          <w:b w:val="false"/>
          <w:sz w:val="20"/>
        </w:rPr>
        <w:t>Item 1A. Risk Factors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a smaller reporting company, we are not required to provide the information required by this item. You are encouraged to read the risk factors set forth in our Annual Report on Form 10-K for the year ended December 31, 2025, filed with the SEC on March 20, 2026.</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bookmarkStart w:id="1417" w:name="Item2UnregisteredSalesofEquitySecurities"/>
      <w:bookmarkStart w:id="1418" w:name="_e1cde0bf_1254_40cf_b4c4_998792870366"/>
      <w:bookmarkEnd w:id="1417"/>
      <w:bookmarkEnd w:id="1418"/>
      <w:r>
        <w:rPr>
          <w:rFonts w:ascii="Times New Roman;Times;serif" w:hAnsi="Times New Roman;Times;serif"/>
          <w:sz w:val="20"/>
        </w:rPr>
        <w:t>Item 2. Unregistered Sales of Equity Securities and Use of Proceeds</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The February 2026 Private Placement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On February 12, 2026, we closed a private placement (the “February 2026 Private Placement”) pursuant to certain stock purchase agreements dated January 27, 2026 (the “Stock Purchase Agreements”) with certain investors (the “Purchasers”), pursuant to which we issued an aggregate of 167,250 shares of Class A common stock, par value $0.0001 per share (the “Shares”), for aggregate gross proceeds of $40.14 million. The Shares issued in the February 2026 Private Placement were not registered under the Securities Act and were issued in reliance upon the exemption from registration provided by Regulation S promulgated thereunder. Each of the Purchasers represented to us that such Purchaser is not a resident of the United States and is not a “U.S. person” as defined in Rule 902(k) of Regulation S under the Securities Act, and that such Purchaser did not acquire the Shares for the account or benefit of any U.S. person. The Shares have not been registered under the Securities Act and may not be offered or sold in the United States absent registration or an applicable exemption from the registration requirements of the Securities Act.</w:t>
      </w:r>
    </w:p>
    <w:p>
      <w:pPr>
        <w:pStyle w:val="TextBody"/>
        <w:bidi w:val="0"/>
        <w:spacing w:before="280" w:after="200"/>
        <w:ind w:left="0" w:right="0" w:hanging="0"/>
        <w:jc w:val="left"/>
        <w:rPr>
          <w:rFonts w:ascii="Times New Roman;Times;serif" w:hAnsi="Times New Roman;Times;serif"/>
          <w:i/>
          <w:sz w:val="20"/>
        </w:rPr>
      </w:pPr>
      <w:r>
        <w:rPr>
          <w:rFonts w:ascii="Times New Roman;Times;serif" w:hAnsi="Times New Roman;Times;serif"/>
          <w:i/>
          <w:sz w:val="20"/>
        </w:rPr>
        <w:t>The June 2026 Private Placement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June 15, 2026, the Company entered into a Securities Purchase Agreement with Huan Liu, the Company’s Chief Executive Officer, Interim Chief Financial Officer, director, and Chairman of the Board of Directors, pursuant to which the Company issued and sold to Huan Liu 200,000 shares of Class B common stock, par value $0.0001 per share, at a purchase price of $2.00 per share, for aggregate gross proceeds of $400,000. The shares were issued and sold in a an offshore transaction in reliance on Regulation S under the Securities Act.</w:t>
      </w:r>
    </w:p>
    <w:p>
      <w:pPr>
        <w:pStyle w:val="TextBody"/>
        <w:bidi w:val="0"/>
        <w:spacing w:before="0" w:after="240"/>
        <w:ind w:left="0" w:right="0" w:hanging="0"/>
        <w:jc w:val="both"/>
        <w:rPr>
          <w:rFonts w:ascii="Times New Roman;Times;serif" w:hAnsi="Times New Roman;Times;serif"/>
          <w:b w:val="false"/>
          <w:sz w:val="20"/>
        </w:rPr>
      </w:pPr>
      <w:bookmarkStart w:id="1419" w:name="Item3DefaultsUponSeniorSecurities_678895"/>
      <w:bookmarkStart w:id="1420" w:name="_a0347014_3eda_41fc_806d_cf53789bfbd7"/>
      <w:bookmarkEnd w:id="1419"/>
      <w:bookmarkEnd w:id="1420"/>
      <w:r>
        <w:rPr>
          <w:rFonts w:ascii="Times New Roman;Times;serif" w:hAnsi="Times New Roman;Times;serif"/>
          <w:b w:val="false"/>
          <w:sz w:val="20"/>
        </w:rPr>
        <w:t>Item 3. Defaults Upon Senior Securities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val="false"/>
          <w:sz w:val="20"/>
        </w:rPr>
      </w:pPr>
      <w:bookmarkStart w:id="1421" w:name="Item4MineSafetyDisclosures_739357"/>
      <w:bookmarkStart w:id="1422" w:name="_8aa59ea5_5cb8_4ad2_84b3_c340bb11f33a"/>
      <w:bookmarkEnd w:id="1421"/>
      <w:bookmarkEnd w:id="1422"/>
      <w:r>
        <w:rPr>
          <w:rFonts w:ascii="Times New Roman;Times;serif" w:hAnsi="Times New Roman;Times;serif"/>
          <w:b w:val="false"/>
          <w:sz w:val="20"/>
        </w:rPr>
        <w:t>Item 4. Mine Safety Disclosures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val="false"/>
          <w:sz w:val="20"/>
        </w:rPr>
      </w:pPr>
      <w:bookmarkStart w:id="1423" w:name="Item5OtherInformation_529236"/>
      <w:bookmarkStart w:id="1424" w:name="_88461065_adeb_4729_8e98_1bf2a8394991"/>
      <w:bookmarkEnd w:id="1423"/>
      <w:bookmarkEnd w:id="1424"/>
      <w:r>
        <w:rPr>
          <w:rFonts w:ascii="Times New Roman;Times;serif" w:hAnsi="Times New Roman;Times;serif"/>
          <w:b w:val="false"/>
          <w:sz w:val="20"/>
        </w:rPr>
        <w:t>Item 5. Other Information</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Naiside Transaction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June 30, 2026, Naiside and Shanghai Kesheng entered into an agreement to terminate the Partnership Agreement (the “Termination Agreement”). Pursuant to the Termination Agreement, the parties agreed to immediately terminate the Partnership Agreement. Shanghai Kesheng agreed to return the full amount of RMB 280,000,000 to Naiside as soon as practicable. The parties further agreed that all rights and obligations arising under the Partnership Agreement, including their respective partnership rights, contribution obligations, and arrangements relating to the allocation of profits and losses, would terminate, and that neither party would pursue claims against the other arising from the performance of the Partnership Agreement, except with respect to the rights and obligations arising under the Termination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August 10, 2026, Naiside and Shanghai Kesheng entered into a first amendment to the Termination Agreement (the “First Amendment”) to establish the repayment arrangements, overdue interest, and liability for default. Pursuant to the First Amendment, Shanghai Kesheng is required to repay the full RMB 280,000,000 to Naiside in a single lump-sum payment on or before December 30, 2026, without deduction of any handling fee, service fee, management fee, or other charge or expense. Shanghai Kesheng’s repayment obligation will be deemed fully discharged only upon Naiside’s receipt of the full amount in immediately available funds in its designated bank account. If the full amount is not repaid by December 30, 2026, the outstanding principal will accrue overdue interest commencing on December 31, 2026, at a rate of 5% per annum, calculated on a simple-interest basis based on the actual number of days overdue.</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Loan Agreements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quarter ended June 30, 2026, the Company entered into five unsecured short-term loan agreements with Hongkong Sanyou Petroleum Co Limited and Asia Finance Investment Limited, pursuant to which the Company made loans in an aggregate principal amount of $11.01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May 14, 2026, the Company entered into a one-year unsecured short-term loan agreement with Hongkong Sanyou Petroleum Co Limited. The principal amount of the loan is $4,000,000. This loan carries an annual interest rate of 5.0% and is set to mature in 12 months, with an option to extend for an additional 12 months. As of June 30, 2026, no principal repayments or accrued interest payments had been collected on this loan, with remaining principal of $4,000,000 and interest of $26,111 outstanding.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May 21, 2026, the Company entered into a one-year unsecured short-term loan agreement with Hongkong Sanyou Petroleum Co Limited. The principal amount of the loan is $4,000,000. This loan carries an annual interest rate of 5.0% and is set to mature in 12 months, with an option to extend for an additional 12 months. As of June 30, 2026, no principal repayments or accrued interest payments had been collected on this loan, with remaining principal of $4,000,000 and interest of $22,222 outstanding.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May 11, 2026, the Company entered into a one-year unsecured short-term loan agreement with Asia Finance Investment Limited for a principal amount of $1,000,000. This loan carries an annual interest rate of 5.0% and is set to mature in 12 months. As of June 30, 2026, no principal repayments or accrued interest payments had been collected on this loan, with remaining principal of $1,000,000 and interest of $6,944 outstanding.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May 21, 2026, the Company entered into a one-year unsecured short-term loan agreement with Asia Finance Investment Limited for a principal amount of $600,000. This loan carries an annual interest rate of 5.0% and is set to mature in 12 months. As of June 30, 2026, no principal repayments or accrued interest payments had been collected on this loan, with remaining principal of $600,000 and interest of $3,333 outstanding.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June 26, 2026, the Company entered into a one-year unsecured short-term loan agreement with Asia Finance Investment Limited for a principal amount of $1,410,000. This loan carries an annual interest rate of 5.0% and is set to mature in 12 months. As of June 30, 2026, no principal repayments or accrued interest payments had been collected on this loan, with remaining principal of $1,410,000 and interest of $783 outstanding.</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foregoing descriptions of the loan agreements do not purport to be complete and are qualified in their entirety by reference to the full text of the respective loan agreements, which are filed as Exhibits 10.10, 10.11, 10.12, 10.13 and 10.14 to this Quarterly Report on Form 10-Q and incorporated herein by reference.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val="false"/>
          <w:sz w:val="20"/>
        </w:rPr>
      </w:pPr>
      <w:bookmarkStart w:id="1425" w:name="Item6Exhibits_10811"/>
      <w:bookmarkStart w:id="1426" w:name="_cb1efec2_5150_40af_8a52_beca5fffcbe1"/>
      <w:bookmarkEnd w:id="1425"/>
      <w:bookmarkEnd w:id="1426"/>
      <w:r>
        <w:rPr>
          <w:rFonts w:ascii="Times New Roman;Times;serif" w:hAnsi="Times New Roman;Times;serif"/>
          <w:b w:val="false"/>
          <w:sz w:val="20"/>
        </w:rPr>
        <w:t>Item 6. Exhibits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exhibits listed below are filed as part of this quarterly report on Form 10-Q.</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Index to Exhibits</w:t>
      </w:r>
    </w:p>
    <w:p>
      <w:pPr>
        <w:pStyle w:val="TextBody"/>
        <w:bidi w:val="0"/>
        <w:spacing w:before="0" w:after="24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706"/>
        <w:gridCol w:w="346"/>
        <w:gridCol w:w="4972"/>
        <w:gridCol w:w="346"/>
        <w:gridCol w:w="511"/>
        <w:gridCol w:w="346"/>
        <w:gridCol w:w="617"/>
        <w:gridCol w:w="346"/>
        <w:gridCol w:w="631"/>
        <w:gridCol w:w="346"/>
        <w:gridCol w:w="1038"/>
      </w:tblGrid>
      <w:tr>
        <w:trPr/>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448310" cy="29210"/>
                      <wp:effectExtent l="0" t="0" r="0" b="0"/>
                      <wp:wrapNone/>
                      <wp:docPr id="638" name="Frame638"/>
                      <a:graphic xmlns:a="http://schemas.openxmlformats.org/drawingml/2006/main">
                        <a:graphicData uri="http://schemas.microsoft.com/office/word/2010/wordprocessingShape">
                          <wps:wsp>
                            <wps:cNvSpPr txBox="1"/>
                            <wps:spPr>
                              <a:xfrm>
                                <a:off x="0" y="0"/>
                                <a:ext cx="4483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9">
                      <wp:simplePos x="0" y="0"/>
                      <wp:positionH relativeFrom="character">
                        <wp:align>left</wp:align>
                      </wp:positionH>
                      <wp:positionV relativeFrom="line">
                        <wp:posOffset>635</wp:posOffset>
                      </wp:positionV>
                      <wp:extent cx="219710" cy="29210"/>
                      <wp:effectExtent l="0" t="0" r="0" b="0"/>
                      <wp:wrapNone/>
                      <wp:docPr id="639" name="Frame639"/>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9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0">
                      <wp:simplePos x="0" y="0"/>
                      <wp:positionH relativeFrom="character">
                        <wp:align>left</wp:align>
                      </wp:positionH>
                      <wp:positionV relativeFrom="line">
                        <wp:posOffset>635</wp:posOffset>
                      </wp:positionV>
                      <wp:extent cx="3157220" cy="29210"/>
                      <wp:effectExtent l="0" t="0" r="0" b="0"/>
                      <wp:wrapNone/>
                      <wp:docPr id="640" name="Frame640"/>
                      <a:graphic xmlns:a="http://schemas.openxmlformats.org/drawingml/2006/main">
                        <a:graphicData uri="http://schemas.microsoft.com/office/word/2010/wordprocessingShape">
                          <wps:wsp>
                            <wps:cNvSpPr txBox="1"/>
                            <wps:spPr>
                              <a:xfrm>
                                <a:off x="0" y="0"/>
                                <a:ext cx="315722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6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1">
                      <wp:simplePos x="0" y="0"/>
                      <wp:positionH relativeFrom="character">
                        <wp:align>left</wp:align>
                      </wp:positionH>
                      <wp:positionV relativeFrom="line">
                        <wp:posOffset>635</wp:posOffset>
                      </wp:positionV>
                      <wp:extent cx="219710" cy="29210"/>
                      <wp:effectExtent l="0" t="0" r="0" b="0"/>
                      <wp:wrapNone/>
                      <wp:docPr id="641" name="Frame641"/>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2">
                      <wp:simplePos x="0" y="0"/>
                      <wp:positionH relativeFrom="character">
                        <wp:align>left</wp:align>
                      </wp:positionH>
                      <wp:positionV relativeFrom="line">
                        <wp:posOffset>635</wp:posOffset>
                      </wp:positionV>
                      <wp:extent cx="324485" cy="29210"/>
                      <wp:effectExtent l="0" t="0" r="0" b="0"/>
                      <wp:wrapNone/>
                      <wp:docPr id="642" name="Frame642"/>
                      <a:graphic xmlns:a="http://schemas.openxmlformats.org/drawingml/2006/main">
                        <a:graphicData uri="http://schemas.microsoft.com/office/word/2010/wordprocessingShape">
                          <wps:wsp>
                            <wps:cNvSpPr txBox="1"/>
                            <wps:spPr>
                              <a:xfrm>
                                <a:off x="0" y="0"/>
                                <a:ext cx="3244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3">
                      <wp:simplePos x="0" y="0"/>
                      <wp:positionH relativeFrom="character">
                        <wp:align>left</wp:align>
                      </wp:positionH>
                      <wp:positionV relativeFrom="line">
                        <wp:posOffset>635</wp:posOffset>
                      </wp:positionV>
                      <wp:extent cx="219710" cy="29210"/>
                      <wp:effectExtent l="0" t="0" r="0" b="0"/>
                      <wp:wrapNone/>
                      <wp:docPr id="643" name="Frame643"/>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4">
                      <wp:simplePos x="0" y="0"/>
                      <wp:positionH relativeFrom="character">
                        <wp:align>left</wp:align>
                      </wp:positionH>
                      <wp:positionV relativeFrom="line">
                        <wp:posOffset>635</wp:posOffset>
                      </wp:positionV>
                      <wp:extent cx="391795" cy="29210"/>
                      <wp:effectExtent l="0" t="0" r="0" b="0"/>
                      <wp:wrapNone/>
                      <wp:docPr id="644" name="Frame644"/>
                      <a:graphic xmlns:a="http://schemas.openxmlformats.org/drawingml/2006/main">
                        <a:graphicData uri="http://schemas.microsoft.com/office/word/2010/wordprocessingShape">
                          <wps:wsp>
                            <wps:cNvSpPr txBox="1"/>
                            <wps:spPr>
                              <a:xfrm>
                                <a:off x="0" y="0"/>
                                <a:ext cx="39179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5">
                      <wp:simplePos x="0" y="0"/>
                      <wp:positionH relativeFrom="character">
                        <wp:align>left</wp:align>
                      </wp:positionH>
                      <wp:positionV relativeFrom="line">
                        <wp:posOffset>635</wp:posOffset>
                      </wp:positionV>
                      <wp:extent cx="219710" cy="29210"/>
                      <wp:effectExtent l="0" t="0" r="0" b="0"/>
                      <wp:wrapNone/>
                      <wp:docPr id="645" name="Frame645"/>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6">
                      <wp:simplePos x="0" y="0"/>
                      <wp:positionH relativeFrom="character">
                        <wp:align>left</wp:align>
                      </wp:positionH>
                      <wp:positionV relativeFrom="line">
                        <wp:posOffset>635</wp:posOffset>
                      </wp:positionV>
                      <wp:extent cx="400685" cy="29210"/>
                      <wp:effectExtent l="0" t="0" r="0" b="0"/>
                      <wp:wrapNone/>
                      <wp:docPr id="646" name="Frame646"/>
                      <a:graphic xmlns:a="http://schemas.openxmlformats.org/drawingml/2006/main">
                        <a:graphicData uri="http://schemas.microsoft.com/office/word/2010/wordprocessingShape">
                          <wps:wsp>
                            <wps:cNvSpPr txBox="1"/>
                            <wps:spPr>
                              <a:xfrm>
                                <a:off x="0" y="0"/>
                                <a:ext cx="4006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7">
                      <wp:simplePos x="0" y="0"/>
                      <wp:positionH relativeFrom="character">
                        <wp:align>left</wp:align>
                      </wp:positionH>
                      <wp:positionV relativeFrom="line">
                        <wp:posOffset>635</wp:posOffset>
                      </wp:positionV>
                      <wp:extent cx="219710" cy="29210"/>
                      <wp:effectExtent l="0" t="0" r="0" b="0"/>
                      <wp:wrapNone/>
                      <wp:docPr id="647" name="Frame647"/>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8">
                      <wp:simplePos x="0" y="0"/>
                      <wp:positionH relativeFrom="character">
                        <wp:align>left</wp:align>
                      </wp:positionH>
                      <wp:positionV relativeFrom="line">
                        <wp:posOffset>635</wp:posOffset>
                      </wp:positionV>
                      <wp:extent cx="659130" cy="29210"/>
                      <wp:effectExtent l="0" t="0" r="0" b="0"/>
                      <wp:wrapNone/>
                      <wp:docPr id="648" name="Frame648"/>
                      <a:graphic xmlns:a="http://schemas.openxmlformats.org/drawingml/2006/main">
                        <a:graphicData uri="http://schemas.microsoft.com/office/word/2010/wordprocessingShape">
                          <wps:wsp>
                            <wps:cNvSpPr txBox="1"/>
                            <wps:spPr>
                              <a:xfrm>
                                <a:off x="0" y="0"/>
                                <a:ext cx="65913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9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Exhibit</w:t>
            </w:r>
          </w:p>
        </w:tc>
        <w:tc>
          <w:tcPr>
            <w:tcW w:w="346" w:type="dxa"/>
            <w:tcBorders/>
            <w:vAlign w:val="center"/>
          </w:tcPr>
          <w:p>
            <w:pPr>
              <w:pStyle w:val="TableContents"/>
              <w:bidi w:val="0"/>
              <w:spacing w:before="0" w:after="0"/>
              <w:ind w:left="0" w:right="0" w:hanging="0"/>
              <w:jc w:val="left"/>
              <w:rPr/>
            </w:pPr>
            <w:r>
              <w:rPr/>
              <w:t>​</w:t>
            </w:r>
          </w:p>
        </w:tc>
        <w:tc>
          <w:tcPr>
            <w:tcW w:w="49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835"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Incorporated by Reference</w:t>
              <w:br/>
              <w:t>(Unless Otherwise Indicated)</w:t>
            </w:r>
          </w:p>
        </w:tc>
      </w:tr>
      <w:tr>
        <w:trPr/>
        <w:tc>
          <w:tcPr>
            <w:tcW w:w="7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Number</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497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 Title</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5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346" w:type="dxa"/>
            <w:tcBorders>
              <w:top w:val="single" w:sz="2" w:space="0" w:color="000000"/>
            </w:tcBorders>
            <w:tcMar>
              <w:top w:w="28" w:type="dxa"/>
            </w:tcMar>
            <w:vAlign w:val="center"/>
          </w:tcPr>
          <w:p>
            <w:pPr>
              <w:pStyle w:val="TableContents"/>
              <w:bidi w:val="0"/>
              <w:spacing w:before="0" w:after="0"/>
              <w:ind w:left="0" w:right="0" w:hanging="0"/>
              <w:jc w:val="center"/>
              <w:rPr/>
            </w:pPr>
            <w:r>
              <w:rPr/>
              <w:t>  ​ ​ ​</w:t>
            </w:r>
          </w:p>
        </w:tc>
        <w:tc>
          <w:tcPr>
            <w:tcW w:w="617"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w:t>
            </w:r>
          </w:p>
        </w:tc>
        <w:tc>
          <w:tcPr>
            <w:tcW w:w="346" w:type="dxa"/>
            <w:tcBorders>
              <w:top w:val="single" w:sz="2" w:space="0" w:color="000000"/>
            </w:tcBorders>
            <w:tcMar>
              <w:top w:w="28" w:type="dxa"/>
            </w:tcMar>
            <w:vAlign w:val="center"/>
          </w:tcPr>
          <w:p>
            <w:pPr>
              <w:pStyle w:val="TableContents"/>
              <w:bidi w:val="0"/>
              <w:spacing w:before="0" w:after="0"/>
              <w:ind w:left="0" w:right="0" w:hanging="0"/>
              <w:jc w:val="center"/>
              <w:rPr/>
            </w:pPr>
            <w:r>
              <w:rPr/>
              <w:t>  ​ ​ ​</w:t>
            </w:r>
          </w:p>
        </w:tc>
        <w:tc>
          <w:tcPr>
            <w:tcW w:w="63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c>
          <w:tcPr>
            <w:tcW w:w="346" w:type="dxa"/>
            <w:tcBorders>
              <w:top w:val="single" w:sz="2" w:space="0" w:color="000000"/>
            </w:tcBorders>
            <w:tcMar>
              <w:top w:w="28" w:type="dxa"/>
            </w:tcMar>
            <w:vAlign w:val="center"/>
          </w:tcPr>
          <w:p>
            <w:pPr>
              <w:pStyle w:val="TableContents"/>
              <w:bidi w:val="0"/>
              <w:spacing w:before="0" w:after="0"/>
              <w:ind w:left="0" w:right="0" w:hanging="0"/>
              <w:jc w:val="center"/>
              <w:rPr/>
            </w:pPr>
            <w:r>
              <w:rPr/>
              <w:t>  ​ ​ ​</w:t>
            </w:r>
          </w:p>
        </w:tc>
        <w:tc>
          <w:tcPr>
            <w:tcW w:w="103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Filing Date</w:t>
            </w:r>
          </w:p>
        </w:tc>
      </w:tr>
      <w:tr>
        <w:trPr/>
        <w:tc>
          <w:tcPr>
            <w:tcW w:w="70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972"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17"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38"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2.1</w:t>
            </w:r>
          </w:p>
        </w:tc>
        <w:tc>
          <w:tcPr>
            <w:tcW w:w="346" w:type="dxa"/>
            <w:tcBorders/>
            <w:vAlign w:val="center"/>
          </w:tcPr>
          <w:p>
            <w:pPr>
              <w:pStyle w:val="TableContents"/>
              <w:bidi w:val="0"/>
              <w:spacing w:before="0" w:after="0"/>
              <w:ind w:left="0" w:right="0" w:hanging="0"/>
              <w:jc w:val="left"/>
              <w:rPr/>
            </w:pPr>
            <w:r>
              <w:rPr/>
              <w:t>​</w:t>
            </w:r>
          </w:p>
        </w:tc>
        <w:tc>
          <w:tcPr>
            <w:tcW w:w="4972" w:type="dxa"/>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Plan of Conversion</w:t>
              </w:r>
            </w:hyperlink>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8-K</w:t>
            </w:r>
          </w:p>
        </w:tc>
        <w:tc>
          <w:tcPr>
            <w:tcW w:w="346" w:type="dxa"/>
            <w:tcBorders/>
            <w:vAlign w:val="center"/>
          </w:tcPr>
          <w:p>
            <w:pPr>
              <w:pStyle w:val="TableContents"/>
              <w:bidi w:val="0"/>
              <w:spacing w:before="0" w:after="0"/>
              <w:ind w:left="0" w:right="0" w:hanging="0"/>
              <w:jc w:val="center"/>
              <w:rPr/>
            </w:pPr>
            <w:r>
              <w:rPr/>
              <w:t>​</w:t>
            </w:r>
          </w:p>
        </w:tc>
        <w:tc>
          <w:tcPr>
            <w:tcW w:w="617"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001-41761</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2.1</w:t>
            </w:r>
          </w:p>
        </w:tc>
        <w:tc>
          <w:tcPr>
            <w:tcW w:w="346" w:type="dxa"/>
            <w:tcBorders/>
            <w:vAlign w:val="center"/>
          </w:tcPr>
          <w:p>
            <w:pPr>
              <w:pStyle w:val="TableContents"/>
              <w:bidi w:val="0"/>
              <w:spacing w:before="0" w:after="0"/>
              <w:ind w:left="0" w:right="0" w:hanging="0"/>
              <w:jc w:val="center"/>
              <w:rPr/>
            </w:pPr>
            <w:r>
              <w:rPr/>
              <w:t>​</w:t>
            </w:r>
          </w:p>
        </w:tc>
        <w:tc>
          <w:tcPr>
            <w:tcW w:w="1038"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February 3, 2026</w:t>
            </w:r>
          </w:p>
        </w:tc>
      </w:tr>
      <w:tr>
        <w:trPr/>
        <w:tc>
          <w:tcPr>
            <w:tcW w:w="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9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1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38"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3.1</w:t>
            </w:r>
          </w:p>
        </w:tc>
        <w:tc>
          <w:tcPr>
            <w:tcW w:w="346" w:type="dxa"/>
            <w:tcBorders/>
            <w:vAlign w:val="center"/>
          </w:tcPr>
          <w:p>
            <w:pPr>
              <w:pStyle w:val="TableContents"/>
              <w:bidi w:val="0"/>
              <w:spacing w:before="0" w:after="0"/>
              <w:ind w:left="0" w:right="0" w:hanging="0"/>
              <w:jc w:val="left"/>
              <w:rPr/>
            </w:pPr>
            <w:r>
              <w:rPr/>
              <w:t>​</w:t>
            </w:r>
          </w:p>
        </w:tc>
        <w:tc>
          <w:tcPr>
            <w:tcW w:w="4972"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Certificate of Incorporation</w:t>
              </w:r>
            </w:hyperlink>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8-K</w:t>
            </w:r>
          </w:p>
        </w:tc>
        <w:tc>
          <w:tcPr>
            <w:tcW w:w="346" w:type="dxa"/>
            <w:tcBorders/>
            <w:vAlign w:val="center"/>
          </w:tcPr>
          <w:p>
            <w:pPr>
              <w:pStyle w:val="TableContents"/>
              <w:bidi w:val="0"/>
              <w:spacing w:before="0" w:after="0"/>
              <w:ind w:left="0" w:right="0" w:hanging="0"/>
              <w:jc w:val="center"/>
              <w:rPr/>
            </w:pPr>
            <w:r>
              <w:rPr/>
              <w:t>​</w:t>
            </w:r>
          </w:p>
        </w:tc>
        <w:tc>
          <w:tcPr>
            <w:tcW w:w="617"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001-41761</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3.2</w:t>
            </w:r>
          </w:p>
        </w:tc>
        <w:tc>
          <w:tcPr>
            <w:tcW w:w="346" w:type="dxa"/>
            <w:tcBorders/>
            <w:vAlign w:val="center"/>
          </w:tcPr>
          <w:p>
            <w:pPr>
              <w:pStyle w:val="TableContents"/>
              <w:bidi w:val="0"/>
              <w:spacing w:before="0" w:after="0"/>
              <w:ind w:left="0" w:right="0" w:hanging="0"/>
              <w:jc w:val="center"/>
              <w:rPr/>
            </w:pPr>
            <w:r>
              <w:rPr/>
              <w:t>​</w:t>
            </w:r>
          </w:p>
        </w:tc>
        <w:tc>
          <w:tcPr>
            <w:tcW w:w="1038"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February 3, 2026</w:t>
            </w:r>
          </w:p>
        </w:tc>
      </w:tr>
      <w:tr>
        <w:trPr/>
        <w:tc>
          <w:tcPr>
            <w:tcW w:w="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9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1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38"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3.2</w:t>
            </w:r>
          </w:p>
        </w:tc>
        <w:tc>
          <w:tcPr>
            <w:tcW w:w="346" w:type="dxa"/>
            <w:tcBorders/>
            <w:vAlign w:val="center"/>
          </w:tcPr>
          <w:p>
            <w:pPr>
              <w:pStyle w:val="TableContents"/>
              <w:bidi w:val="0"/>
              <w:spacing w:before="0" w:after="0"/>
              <w:ind w:left="0" w:right="0" w:hanging="0"/>
              <w:jc w:val="left"/>
              <w:rPr/>
            </w:pPr>
            <w:r>
              <w:rPr/>
              <w:t>​</w:t>
            </w:r>
          </w:p>
        </w:tc>
        <w:tc>
          <w:tcPr>
            <w:tcW w:w="4972"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Certificate of Amendment to Certificate of Incorporation</w:t>
              </w:r>
            </w:hyperlink>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8-K</w:t>
            </w:r>
          </w:p>
        </w:tc>
        <w:tc>
          <w:tcPr>
            <w:tcW w:w="346" w:type="dxa"/>
            <w:tcBorders/>
            <w:vAlign w:val="center"/>
          </w:tcPr>
          <w:p>
            <w:pPr>
              <w:pStyle w:val="TableContents"/>
              <w:bidi w:val="0"/>
              <w:spacing w:before="0" w:after="0"/>
              <w:ind w:left="0" w:right="0" w:hanging="0"/>
              <w:jc w:val="center"/>
              <w:rPr/>
            </w:pPr>
            <w:r>
              <w:rPr/>
              <w:t>​</w:t>
            </w:r>
          </w:p>
        </w:tc>
        <w:tc>
          <w:tcPr>
            <w:tcW w:w="617"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001-41761</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3.1</w:t>
            </w:r>
          </w:p>
        </w:tc>
        <w:tc>
          <w:tcPr>
            <w:tcW w:w="346" w:type="dxa"/>
            <w:tcBorders/>
            <w:vAlign w:val="center"/>
          </w:tcPr>
          <w:p>
            <w:pPr>
              <w:pStyle w:val="TableContents"/>
              <w:bidi w:val="0"/>
              <w:spacing w:before="0" w:after="0"/>
              <w:ind w:left="0" w:right="0" w:hanging="0"/>
              <w:jc w:val="center"/>
              <w:rPr/>
            </w:pPr>
            <w:r>
              <w:rPr/>
              <w:t>​</w:t>
            </w:r>
          </w:p>
        </w:tc>
        <w:tc>
          <w:tcPr>
            <w:tcW w:w="1038"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April 24, 2026</w:t>
            </w:r>
          </w:p>
        </w:tc>
      </w:tr>
      <w:tr>
        <w:trPr/>
        <w:tc>
          <w:tcPr>
            <w:tcW w:w="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9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1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38"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3.3</w:t>
            </w:r>
          </w:p>
        </w:tc>
        <w:tc>
          <w:tcPr>
            <w:tcW w:w="346" w:type="dxa"/>
            <w:tcBorders/>
            <w:vAlign w:val="center"/>
          </w:tcPr>
          <w:p>
            <w:pPr>
              <w:pStyle w:val="TableContents"/>
              <w:bidi w:val="0"/>
              <w:spacing w:before="0" w:after="0"/>
              <w:ind w:left="0" w:right="0" w:hanging="0"/>
              <w:jc w:val="left"/>
              <w:rPr/>
            </w:pPr>
            <w:r>
              <w:rPr/>
              <w:t>​</w:t>
            </w:r>
          </w:p>
        </w:tc>
        <w:tc>
          <w:tcPr>
            <w:tcW w:w="4972"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Certificate of Conversion</w:t>
              </w:r>
            </w:hyperlink>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8-K</w:t>
            </w:r>
          </w:p>
        </w:tc>
        <w:tc>
          <w:tcPr>
            <w:tcW w:w="346" w:type="dxa"/>
            <w:tcBorders/>
            <w:vAlign w:val="center"/>
          </w:tcPr>
          <w:p>
            <w:pPr>
              <w:pStyle w:val="TableContents"/>
              <w:bidi w:val="0"/>
              <w:spacing w:before="0" w:after="0"/>
              <w:ind w:left="0" w:right="0" w:hanging="0"/>
              <w:jc w:val="center"/>
              <w:rPr/>
            </w:pPr>
            <w:r>
              <w:rPr/>
              <w:t>​</w:t>
            </w:r>
          </w:p>
        </w:tc>
        <w:tc>
          <w:tcPr>
            <w:tcW w:w="617"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001-41761</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3.1</w:t>
            </w:r>
          </w:p>
        </w:tc>
        <w:tc>
          <w:tcPr>
            <w:tcW w:w="346" w:type="dxa"/>
            <w:tcBorders/>
            <w:vAlign w:val="center"/>
          </w:tcPr>
          <w:p>
            <w:pPr>
              <w:pStyle w:val="TableContents"/>
              <w:bidi w:val="0"/>
              <w:spacing w:before="0" w:after="0"/>
              <w:ind w:left="0" w:right="0" w:hanging="0"/>
              <w:jc w:val="center"/>
              <w:rPr/>
            </w:pPr>
            <w:r>
              <w:rPr/>
              <w:t>​</w:t>
            </w:r>
          </w:p>
        </w:tc>
        <w:tc>
          <w:tcPr>
            <w:tcW w:w="1038"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February 3, 2026</w:t>
            </w:r>
          </w:p>
        </w:tc>
      </w:tr>
      <w:tr>
        <w:trPr/>
        <w:tc>
          <w:tcPr>
            <w:tcW w:w="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9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1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38"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3.4</w:t>
            </w:r>
          </w:p>
        </w:tc>
        <w:tc>
          <w:tcPr>
            <w:tcW w:w="346" w:type="dxa"/>
            <w:tcBorders/>
            <w:vAlign w:val="center"/>
          </w:tcPr>
          <w:p>
            <w:pPr>
              <w:pStyle w:val="TableContents"/>
              <w:bidi w:val="0"/>
              <w:spacing w:before="0" w:after="0"/>
              <w:ind w:left="0" w:right="0" w:hanging="0"/>
              <w:jc w:val="left"/>
              <w:rPr/>
            </w:pPr>
            <w:r>
              <w:rPr/>
              <w:t>​</w:t>
            </w:r>
          </w:p>
        </w:tc>
        <w:tc>
          <w:tcPr>
            <w:tcW w:w="4972" w:type="dxa"/>
            <w:tcBorders/>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Bylaws</w:t>
              </w:r>
            </w:hyperlink>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8-K</w:t>
            </w:r>
          </w:p>
        </w:tc>
        <w:tc>
          <w:tcPr>
            <w:tcW w:w="346" w:type="dxa"/>
            <w:tcBorders/>
            <w:vAlign w:val="center"/>
          </w:tcPr>
          <w:p>
            <w:pPr>
              <w:pStyle w:val="TableContents"/>
              <w:bidi w:val="0"/>
              <w:spacing w:before="0" w:after="0"/>
              <w:ind w:left="0" w:right="0" w:hanging="0"/>
              <w:jc w:val="center"/>
              <w:rPr/>
            </w:pPr>
            <w:r>
              <w:rPr/>
              <w:t>​</w:t>
            </w:r>
          </w:p>
        </w:tc>
        <w:tc>
          <w:tcPr>
            <w:tcW w:w="617"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001-41761</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3.3</w:t>
            </w:r>
          </w:p>
        </w:tc>
        <w:tc>
          <w:tcPr>
            <w:tcW w:w="346" w:type="dxa"/>
            <w:tcBorders/>
            <w:vAlign w:val="center"/>
          </w:tcPr>
          <w:p>
            <w:pPr>
              <w:pStyle w:val="TableContents"/>
              <w:bidi w:val="0"/>
              <w:spacing w:before="0" w:after="0"/>
              <w:ind w:left="0" w:right="0" w:hanging="0"/>
              <w:jc w:val="center"/>
              <w:rPr/>
            </w:pPr>
            <w:r>
              <w:rPr/>
              <w:t>​</w:t>
            </w:r>
          </w:p>
        </w:tc>
        <w:tc>
          <w:tcPr>
            <w:tcW w:w="1038"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February 3, 2026</w:t>
            </w:r>
          </w:p>
        </w:tc>
      </w:tr>
      <w:tr>
        <w:trPr/>
        <w:tc>
          <w:tcPr>
            <w:tcW w:w="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9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1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38"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4.1</w:t>
            </w:r>
          </w:p>
        </w:tc>
        <w:tc>
          <w:tcPr>
            <w:tcW w:w="346" w:type="dxa"/>
            <w:tcBorders/>
            <w:vAlign w:val="center"/>
          </w:tcPr>
          <w:p>
            <w:pPr>
              <w:pStyle w:val="TableContents"/>
              <w:bidi w:val="0"/>
              <w:spacing w:before="0" w:after="0"/>
              <w:ind w:left="0" w:right="0" w:hanging="0"/>
              <w:jc w:val="left"/>
              <w:rPr/>
            </w:pPr>
            <w:r>
              <w:rPr/>
              <w:t>​</w:t>
            </w:r>
          </w:p>
        </w:tc>
        <w:tc>
          <w:tcPr>
            <w:tcW w:w="4972" w:type="dxa"/>
            <w:tcBorders/>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Specimen Stock Certificate</w:t>
              </w:r>
            </w:hyperlink>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10-K</w:t>
            </w:r>
          </w:p>
        </w:tc>
        <w:tc>
          <w:tcPr>
            <w:tcW w:w="346" w:type="dxa"/>
            <w:tcBorders/>
            <w:vAlign w:val="center"/>
          </w:tcPr>
          <w:p>
            <w:pPr>
              <w:pStyle w:val="TableContents"/>
              <w:bidi w:val="0"/>
              <w:spacing w:before="0" w:after="0"/>
              <w:ind w:left="0" w:right="0" w:hanging="0"/>
              <w:jc w:val="center"/>
              <w:rPr/>
            </w:pPr>
            <w:r>
              <w:rPr/>
              <w:t>​</w:t>
            </w:r>
          </w:p>
        </w:tc>
        <w:tc>
          <w:tcPr>
            <w:tcW w:w="617"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001-41761</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4.1</w:t>
            </w:r>
          </w:p>
        </w:tc>
        <w:tc>
          <w:tcPr>
            <w:tcW w:w="346" w:type="dxa"/>
            <w:tcBorders/>
            <w:vAlign w:val="center"/>
          </w:tcPr>
          <w:p>
            <w:pPr>
              <w:pStyle w:val="TableContents"/>
              <w:bidi w:val="0"/>
              <w:spacing w:before="0" w:after="0"/>
              <w:ind w:left="0" w:right="0" w:hanging="0"/>
              <w:jc w:val="center"/>
              <w:rPr/>
            </w:pPr>
            <w:r>
              <w:rPr/>
              <w:t>​</w:t>
            </w:r>
          </w:p>
        </w:tc>
        <w:tc>
          <w:tcPr>
            <w:tcW w:w="1038"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March 20, 2026</w:t>
            </w:r>
          </w:p>
        </w:tc>
      </w:tr>
      <w:tr>
        <w:trPr/>
        <w:tc>
          <w:tcPr>
            <w:tcW w:w="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9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1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38"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10.1</w:t>
            </w:r>
          </w:p>
        </w:tc>
        <w:tc>
          <w:tcPr>
            <w:tcW w:w="346" w:type="dxa"/>
            <w:tcBorders/>
            <w:vAlign w:val="center"/>
          </w:tcPr>
          <w:p>
            <w:pPr>
              <w:pStyle w:val="TableContents"/>
              <w:bidi w:val="0"/>
              <w:spacing w:before="0" w:after="0"/>
              <w:ind w:left="0" w:right="0" w:hanging="0"/>
              <w:jc w:val="left"/>
              <w:rPr/>
            </w:pPr>
            <w:r>
              <w:rPr/>
              <w:t>​</w:t>
            </w:r>
          </w:p>
        </w:tc>
        <w:tc>
          <w:tcPr>
            <w:tcW w:w="4972" w:type="dxa"/>
            <w:tcBorders/>
            <w:vAlign w:val="center"/>
          </w:tcPr>
          <w:p>
            <w:pPr>
              <w:pStyle w:val="TableContents"/>
              <w:bidi w:val="0"/>
              <w:spacing w:before="0" w:after="0"/>
              <w:ind w:left="0" w:right="0" w:hanging="0"/>
              <w:jc w:val="left"/>
              <w:rPr/>
            </w:pPr>
            <w:hyperlink r:id="rId8">
              <w:r>
                <w:rPr>
                  <w:rStyle w:val="InternetLink"/>
                  <w:rFonts w:ascii="Times New Roman;Times;serif" w:hAnsi="Times New Roman;Times;serif"/>
                  <w:b w:val="false"/>
                  <w:i w:val="false"/>
                  <w:caps w:val="false"/>
                  <w:smallCaps w:val="false"/>
                  <w:sz w:val="20"/>
                </w:rPr>
                <w:t>Share Transfer Agreement, dated as of April 16, 2026, by and between the Company and Leyan Yang</w:t>
              </w:r>
            </w:hyperlink>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8-K</w:t>
            </w:r>
          </w:p>
        </w:tc>
        <w:tc>
          <w:tcPr>
            <w:tcW w:w="346" w:type="dxa"/>
            <w:tcBorders/>
            <w:vAlign w:val="center"/>
          </w:tcPr>
          <w:p>
            <w:pPr>
              <w:pStyle w:val="TableContents"/>
              <w:bidi w:val="0"/>
              <w:spacing w:before="0" w:after="0"/>
              <w:ind w:left="0" w:right="0" w:hanging="0"/>
              <w:jc w:val="center"/>
              <w:rPr/>
            </w:pPr>
            <w:r>
              <w:rPr/>
              <w:t>​</w:t>
            </w:r>
          </w:p>
        </w:tc>
        <w:tc>
          <w:tcPr>
            <w:tcW w:w="617"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001-41761</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10.1</w:t>
            </w:r>
          </w:p>
        </w:tc>
        <w:tc>
          <w:tcPr>
            <w:tcW w:w="346" w:type="dxa"/>
            <w:tcBorders/>
            <w:vAlign w:val="center"/>
          </w:tcPr>
          <w:p>
            <w:pPr>
              <w:pStyle w:val="TableContents"/>
              <w:bidi w:val="0"/>
              <w:spacing w:before="0" w:after="0"/>
              <w:ind w:left="0" w:right="0" w:hanging="0"/>
              <w:jc w:val="center"/>
              <w:rPr/>
            </w:pPr>
            <w:r>
              <w:rPr/>
              <w:t>​</w:t>
            </w:r>
          </w:p>
        </w:tc>
        <w:tc>
          <w:tcPr>
            <w:tcW w:w="1038"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April 16, 2026</w:t>
            </w:r>
          </w:p>
        </w:tc>
      </w:tr>
      <w:tr>
        <w:trPr/>
        <w:tc>
          <w:tcPr>
            <w:tcW w:w="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9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1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38"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10.2</w:t>
            </w:r>
          </w:p>
        </w:tc>
        <w:tc>
          <w:tcPr>
            <w:tcW w:w="346" w:type="dxa"/>
            <w:tcBorders/>
            <w:vAlign w:val="center"/>
          </w:tcPr>
          <w:p>
            <w:pPr>
              <w:pStyle w:val="TableContents"/>
              <w:bidi w:val="0"/>
              <w:spacing w:before="0" w:after="0"/>
              <w:ind w:left="0" w:right="0" w:hanging="0"/>
              <w:jc w:val="left"/>
              <w:rPr/>
            </w:pPr>
            <w:r>
              <w:rPr/>
              <w:t>​</w:t>
            </w:r>
          </w:p>
        </w:tc>
        <w:tc>
          <w:tcPr>
            <w:tcW w:w="4972" w:type="dxa"/>
            <w:tcBorders/>
            <w:vAlign w:val="center"/>
          </w:tcPr>
          <w:p>
            <w:pPr>
              <w:pStyle w:val="TableContents"/>
              <w:bidi w:val="0"/>
              <w:spacing w:before="0" w:after="0"/>
              <w:ind w:left="0" w:right="0" w:hanging="0"/>
              <w:jc w:val="left"/>
              <w:rPr/>
            </w:pPr>
            <w:hyperlink r:id="rId9">
              <w:r>
                <w:rPr>
                  <w:rStyle w:val="InternetLink"/>
                  <w:rFonts w:ascii="Times New Roman;Times;serif" w:hAnsi="Times New Roman;Times;serif"/>
                  <w:b w:val="false"/>
                  <w:i w:val="false"/>
                  <w:caps w:val="false"/>
                  <w:smallCaps w:val="false"/>
                  <w:sz w:val="20"/>
                </w:rPr>
                <w:t>Loan Agreement dated April 23, 2026, by and between the Company and Hongkong Sanyou Petroleum Co Limited</w:t>
              </w:r>
            </w:hyperlink>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10-Q</w:t>
            </w:r>
          </w:p>
        </w:tc>
        <w:tc>
          <w:tcPr>
            <w:tcW w:w="346" w:type="dxa"/>
            <w:tcBorders/>
            <w:vAlign w:val="center"/>
          </w:tcPr>
          <w:p>
            <w:pPr>
              <w:pStyle w:val="TableContents"/>
              <w:bidi w:val="0"/>
              <w:spacing w:before="0" w:after="0"/>
              <w:ind w:left="0" w:right="0" w:hanging="0"/>
              <w:jc w:val="center"/>
              <w:rPr/>
            </w:pPr>
            <w:r>
              <w:rPr/>
              <w:t>​</w:t>
            </w:r>
          </w:p>
        </w:tc>
        <w:tc>
          <w:tcPr>
            <w:tcW w:w="617"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001-41761</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10.11</w:t>
            </w:r>
          </w:p>
        </w:tc>
        <w:tc>
          <w:tcPr>
            <w:tcW w:w="346" w:type="dxa"/>
            <w:tcBorders/>
            <w:vAlign w:val="center"/>
          </w:tcPr>
          <w:p>
            <w:pPr>
              <w:pStyle w:val="TableContents"/>
              <w:bidi w:val="0"/>
              <w:spacing w:before="0" w:after="0"/>
              <w:ind w:left="0" w:right="0" w:hanging="0"/>
              <w:jc w:val="center"/>
              <w:rPr/>
            </w:pPr>
            <w:r>
              <w:rPr/>
              <w:t>​</w:t>
            </w:r>
          </w:p>
        </w:tc>
        <w:tc>
          <w:tcPr>
            <w:tcW w:w="1038"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May 14, 2026</w:t>
            </w:r>
          </w:p>
        </w:tc>
      </w:tr>
      <w:tr>
        <w:trPr/>
        <w:tc>
          <w:tcPr>
            <w:tcW w:w="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9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1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38"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10.3</w:t>
            </w:r>
          </w:p>
        </w:tc>
        <w:tc>
          <w:tcPr>
            <w:tcW w:w="346" w:type="dxa"/>
            <w:tcBorders/>
            <w:vAlign w:val="center"/>
          </w:tcPr>
          <w:p>
            <w:pPr>
              <w:pStyle w:val="TableContents"/>
              <w:bidi w:val="0"/>
              <w:spacing w:before="0" w:after="0"/>
              <w:ind w:left="0" w:right="0" w:hanging="0"/>
              <w:jc w:val="left"/>
              <w:rPr/>
            </w:pPr>
            <w:r>
              <w:rPr/>
              <w:t>​</w:t>
            </w:r>
          </w:p>
        </w:tc>
        <w:tc>
          <w:tcPr>
            <w:tcW w:w="4972" w:type="dxa"/>
            <w:tcBorders/>
            <w:vAlign w:val="center"/>
          </w:tcPr>
          <w:p>
            <w:pPr>
              <w:pStyle w:val="TableContents"/>
              <w:bidi w:val="0"/>
              <w:spacing w:before="0" w:after="0"/>
              <w:ind w:left="0" w:right="0" w:hanging="0"/>
              <w:jc w:val="left"/>
              <w:rPr/>
            </w:pPr>
            <w:hyperlink r:id="rId10">
              <w:r>
                <w:rPr>
                  <w:rStyle w:val="InternetLink"/>
                  <w:rFonts w:ascii="Times New Roman;Times;serif" w:hAnsi="Times New Roman;Times;serif"/>
                  <w:b w:val="false"/>
                  <w:i w:val="false"/>
                  <w:caps w:val="false"/>
                  <w:smallCaps w:val="false"/>
                  <w:sz w:val="20"/>
                </w:rPr>
                <w:t>Loan Agreement dated April 27, 2026, by and between the Company and Hongkong Sanyou Petroleum Co Limited</w:t>
              </w:r>
            </w:hyperlink>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10-Q</w:t>
            </w:r>
          </w:p>
        </w:tc>
        <w:tc>
          <w:tcPr>
            <w:tcW w:w="346" w:type="dxa"/>
            <w:tcBorders/>
            <w:vAlign w:val="center"/>
          </w:tcPr>
          <w:p>
            <w:pPr>
              <w:pStyle w:val="TableContents"/>
              <w:bidi w:val="0"/>
              <w:spacing w:before="0" w:after="0"/>
              <w:ind w:left="0" w:right="0" w:hanging="0"/>
              <w:jc w:val="center"/>
              <w:rPr/>
            </w:pPr>
            <w:r>
              <w:rPr/>
              <w:t>​</w:t>
            </w:r>
          </w:p>
        </w:tc>
        <w:tc>
          <w:tcPr>
            <w:tcW w:w="617"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001-41761</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10.12</w:t>
            </w:r>
          </w:p>
        </w:tc>
        <w:tc>
          <w:tcPr>
            <w:tcW w:w="346" w:type="dxa"/>
            <w:tcBorders/>
            <w:vAlign w:val="center"/>
          </w:tcPr>
          <w:p>
            <w:pPr>
              <w:pStyle w:val="TableContents"/>
              <w:bidi w:val="0"/>
              <w:spacing w:before="0" w:after="0"/>
              <w:ind w:left="0" w:right="0" w:hanging="0"/>
              <w:jc w:val="center"/>
              <w:rPr/>
            </w:pPr>
            <w:r>
              <w:rPr/>
              <w:t>​</w:t>
            </w:r>
          </w:p>
        </w:tc>
        <w:tc>
          <w:tcPr>
            <w:tcW w:w="1038"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May 14, 2026</w:t>
            </w:r>
          </w:p>
        </w:tc>
      </w:tr>
      <w:tr>
        <w:trPr/>
        <w:tc>
          <w:tcPr>
            <w:tcW w:w="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9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1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38"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10.4</w:t>
            </w:r>
          </w:p>
        </w:tc>
        <w:tc>
          <w:tcPr>
            <w:tcW w:w="346" w:type="dxa"/>
            <w:tcBorders/>
            <w:vAlign w:val="center"/>
          </w:tcPr>
          <w:p>
            <w:pPr>
              <w:pStyle w:val="TableContents"/>
              <w:bidi w:val="0"/>
              <w:spacing w:before="0" w:after="0"/>
              <w:ind w:left="0" w:right="0" w:hanging="0"/>
              <w:jc w:val="left"/>
              <w:rPr/>
            </w:pPr>
            <w:r>
              <w:rPr/>
              <w:t>​</w:t>
            </w:r>
          </w:p>
        </w:tc>
        <w:tc>
          <w:tcPr>
            <w:tcW w:w="4972" w:type="dxa"/>
            <w:tcBorders/>
            <w:vAlign w:val="center"/>
          </w:tcPr>
          <w:p>
            <w:pPr>
              <w:pStyle w:val="TableContents"/>
              <w:bidi w:val="0"/>
              <w:spacing w:before="0" w:after="0"/>
              <w:ind w:left="0" w:right="0" w:hanging="0"/>
              <w:jc w:val="left"/>
              <w:rPr/>
            </w:pPr>
            <w:hyperlink r:id="rId11">
              <w:r>
                <w:rPr>
                  <w:rStyle w:val="InternetLink"/>
                  <w:rFonts w:ascii="Times New Roman;Times;serif" w:hAnsi="Times New Roman;Times;serif"/>
                  <w:b w:val="false"/>
                  <w:i w:val="false"/>
                  <w:caps w:val="false"/>
                  <w:smallCaps w:val="false"/>
                  <w:sz w:val="20"/>
                </w:rPr>
                <w:t>Loan Agreement dated April 1, 2026, by and between the Company and Hongkong Sanyou Petroleum Co Limited</w:t>
              </w:r>
            </w:hyperlink>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10-Q</w:t>
            </w:r>
          </w:p>
        </w:tc>
        <w:tc>
          <w:tcPr>
            <w:tcW w:w="346" w:type="dxa"/>
            <w:tcBorders/>
            <w:vAlign w:val="center"/>
          </w:tcPr>
          <w:p>
            <w:pPr>
              <w:pStyle w:val="TableContents"/>
              <w:bidi w:val="0"/>
              <w:spacing w:before="0" w:after="0"/>
              <w:ind w:left="0" w:right="0" w:hanging="0"/>
              <w:jc w:val="center"/>
              <w:rPr/>
            </w:pPr>
            <w:r>
              <w:rPr/>
              <w:t>​</w:t>
            </w:r>
          </w:p>
        </w:tc>
        <w:tc>
          <w:tcPr>
            <w:tcW w:w="617"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001-41761</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10.13</w:t>
            </w:r>
          </w:p>
        </w:tc>
        <w:tc>
          <w:tcPr>
            <w:tcW w:w="346" w:type="dxa"/>
            <w:tcBorders/>
            <w:vAlign w:val="center"/>
          </w:tcPr>
          <w:p>
            <w:pPr>
              <w:pStyle w:val="TableContents"/>
              <w:bidi w:val="0"/>
              <w:spacing w:before="0" w:after="0"/>
              <w:ind w:left="0" w:right="0" w:hanging="0"/>
              <w:jc w:val="center"/>
              <w:rPr/>
            </w:pPr>
            <w:r>
              <w:rPr/>
              <w:t>​</w:t>
            </w:r>
          </w:p>
        </w:tc>
        <w:tc>
          <w:tcPr>
            <w:tcW w:w="1038"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May 14, 2026</w:t>
            </w:r>
          </w:p>
        </w:tc>
      </w:tr>
      <w:tr>
        <w:trPr/>
        <w:tc>
          <w:tcPr>
            <w:tcW w:w="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9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1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38"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10.5</w:t>
            </w:r>
          </w:p>
        </w:tc>
        <w:tc>
          <w:tcPr>
            <w:tcW w:w="346" w:type="dxa"/>
            <w:tcBorders/>
            <w:vAlign w:val="center"/>
          </w:tcPr>
          <w:p>
            <w:pPr>
              <w:pStyle w:val="TableContents"/>
              <w:bidi w:val="0"/>
              <w:spacing w:before="0" w:after="0"/>
              <w:ind w:left="0" w:right="0" w:hanging="0"/>
              <w:jc w:val="left"/>
              <w:rPr/>
            </w:pPr>
            <w:r>
              <w:rPr/>
              <w:t>​</w:t>
            </w:r>
          </w:p>
        </w:tc>
        <w:tc>
          <w:tcPr>
            <w:tcW w:w="4972" w:type="dxa"/>
            <w:tcBorders/>
            <w:vAlign w:val="center"/>
          </w:tcPr>
          <w:p>
            <w:pPr>
              <w:pStyle w:val="TableContents"/>
              <w:bidi w:val="0"/>
              <w:spacing w:before="0" w:after="0"/>
              <w:ind w:left="0" w:right="0" w:hanging="0"/>
              <w:jc w:val="left"/>
              <w:rPr/>
            </w:pPr>
            <w:hyperlink r:id="rId12">
              <w:r>
                <w:rPr>
                  <w:rStyle w:val="InternetLink"/>
                  <w:rFonts w:ascii="Times New Roman;Times;serif" w:hAnsi="Times New Roman;Times;serif"/>
                  <w:b w:val="false"/>
                  <w:i w:val="false"/>
                  <w:caps w:val="false"/>
                  <w:smallCaps w:val="false"/>
                  <w:sz w:val="20"/>
                </w:rPr>
                <w:t>Resignation Agreement dated June 4, 2026 by and between the Company and Cindy Tang</w:t>
              </w:r>
            </w:hyperlink>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8-K</w:t>
            </w:r>
          </w:p>
        </w:tc>
        <w:tc>
          <w:tcPr>
            <w:tcW w:w="346" w:type="dxa"/>
            <w:tcBorders/>
            <w:vAlign w:val="center"/>
          </w:tcPr>
          <w:p>
            <w:pPr>
              <w:pStyle w:val="TableContents"/>
              <w:bidi w:val="0"/>
              <w:spacing w:before="0" w:after="0"/>
              <w:ind w:left="0" w:right="0" w:hanging="0"/>
              <w:jc w:val="center"/>
              <w:rPr/>
            </w:pPr>
            <w:r>
              <w:rPr/>
              <w:t>​</w:t>
            </w:r>
          </w:p>
        </w:tc>
        <w:tc>
          <w:tcPr>
            <w:tcW w:w="617"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001-41761</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10.1</w:t>
            </w:r>
          </w:p>
        </w:tc>
        <w:tc>
          <w:tcPr>
            <w:tcW w:w="346" w:type="dxa"/>
            <w:tcBorders/>
            <w:vAlign w:val="center"/>
          </w:tcPr>
          <w:p>
            <w:pPr>
              <w:pStyle w:val="TableContents"/>
              <w:bidi w:val="0"/>
              <w:spacing w:before="0" w:after="0"/>
              <w:ind w:left="0" w:right="0" w:hanging="0"/>
              <w:jc w:val="center"/>
              <w:rPr/>
            </w:pPr>
            <w:r>
              <w:rPr/>
              <w:t>​</w:t>
            </w:r>
          </w:p>
        </w:tc>
        <w:tc>
          <w:tcPr>
            <w:tcW w:w="1038"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June 4, 2026</w:t>
            </w:r>
          </w:p>
        </w:tc>
      </w:tr>
      <w:tr>
        <w:trPr/>
        <w:tc>
          <w:tcPr>
            <w:tcW w:w="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9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1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38"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10.6</w:t>
            </w:r>
          </w:p>
        </w:tc>
        <w:tc>
          <w:tcPr>
            <w:tcW w:w="346" w:type="dxa"/>
            <w:tcBorders/>
            <w:vAlign w:val="center"/>
          </w:tcPr>
          <w:p>
            <w:pPr>
              <w:pStyle w:val="TableContents"/>
              <w:bidi w:val="0"/>
              <w:spacing w:before="0" w:after="0"/>
              <w:ind w:left="0" w:right="0" w:hanging="0"/>
              <w:jc w:val="left"/>
              <w:rPr/>
            </w:pPr>
            <w:r>
              <w:rPr/>
              <w:t>​</w:t>
            </w:r>
          </w:p>
        </w:tc>
        <w:tc>
          <w:tcPr>
            <w:tcW w:w="4972" w:type="dxa"/>
            <w:tcBorders/>
            <w:vAlign w:val="center"/>
          </w:tcPr>
          <w:p>
            <w:pPr>
              <w:pStyle w:val="TableContents"/>
              <w:bidi w:val="0"/>
              <w:spacing w:before="0" w:after="0"/>
              <w:ind w:left="0" w:right="0" w:hanging="0"/>
              <w:jc w:val="left"/>
              <w:rPr/>
            </w:pPr>
            <w:hyperlink r:id="rId13">
              <w:r>
                <w:rPr>
                  <w:rStyle w:val="InternetLink"/>
                  <w:rFonts w:ascii="Times New Roman;Times;serif" w:hAnsi="Times New Roman;Times;serif"/>
                  <w:b w:val="false"/>
                  <w:i w:val="false"/>
                  <w:caps w:val="false"/>
                  <w:smallCaps w:val="false"/>
                  <w:sz w:val="20"/>
                </w:rPr>
                <w:t>Securities Purchase Agreement dated June 15, 2026 by and between the Company and Huan Liu</w:t>
              </w:r>
            </w:hyperlink>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8-K</w:t>
            </w:r>
          </w:p>
        </w:tc>
        <w:tc>
          <w:tcPr>
            <w:tcW w:w="346" w:type="dxa"/>
            <w:tcBorders/>
            <w:vAlign w:val="center"/>
          </w:tcPr>
          <w:p>
            <w:pPr>
              <w:pStyle w:val="TableContents"/>
              <w:bidi w:val="0"/>
              <w:spacing w:before="0" w:after="0"/>
              <w:ind w:left="0" w:right="0" w:hanging="0"/>
              <w:jc w:val="center"/>
              <w:rPr/>
            </w:pPr>
            <w:r>
              <w:rPr/>
              <w:t>​</w:t>
            </w:r>
          </w:p>
        </w:tc>
        <w:tc>
          <w:tcPr>
            <w:tcW w:w="617"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001-41761</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10.1</w:t>
            </w:r>
          </w:p>
        </w:tc>
        <w:tc>
          <w:tcPr>
            <w:tcW w:w="346" w:type="dxa"/>
            <w:tcBorders/>
            <w:vAlign w:val="center"/>
          </w:tcPr>
          <w:p>
            <w:pPr>
              <w:pStyle w:val="TableContents"/>
              <w:bidi w:val="0"/>
              <w:spacing w:before="0" w:after="0"/>
              <w:ind w:left="0" w:right="0" w:hanging="0"/>
              <w:jc w:val="center"/>
              <w:rPr/>
            </w:pPr>
            <w:r>
              <w:rPr/>
              <w:t>​</w:t>
            </w:r>
          </w:p>
        </w:tc>
        <w:tc>
          <w:tcPr>
            <w:tcW w:w="1038"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June 22, 2026</w:t>
            </w:r>
          </w:p>
        </w:tc>
      </w:tr>
      <w:tr>
        <w:trPr/>
        <w:tc>
          <w:tcPr>
            <w:tcW w:w="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9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1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38"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10.7</w:t>
            </w:r>
          </w:p>
        </w:tc>
        <w:tc>
          <w:tcPr>
            <w:tcW w:w="346" w:type="dxa"/>
            <w:tcBorders/>
            <w:vAlign w:val="center"/>
          </w:tcPr>
          <w:p>
            <w:pPr>
              <w:pStyle w:val="TableContents"/>
              <w:bidi w:val="0"/>
              <w:spacing w:before="0" w:after="0"/>
              <w:ind w:left="0" w:right="0" w:hanging="0"/>
              <w:jc w:val="left"/>
              <w:rPr/>
            </w:pPr>
            <w:r>
              <w:rPr/>
              <w:t>​</w:t>
            </w:r>
          </w:p>
        </w:tc>
        <w:tc>
          <w:tcPr>
            <w:tcW w:w="4972" w:type="dxa"/>
            <w:tcBorders/>
            <w:vAlign w:val="center"/>
          </w:tcPr>
          <w:p>
            <w:pPr>
              <w:pStyle w:val="TableContents"/>
              <w:bidi w:val="0"/>
              <w:spacing w:before="0" w:after="0"/>
              <w:ind w:left="0" w:right="0" w:hanging="0"/>
              <w:jc w:val="left"/>
              <w:rPr/>
            </w:pPr>
            <w:hyperlink r:id="rId14">
              <w:r>
                <w:rPr>
                  <w:rStyle w:val="InternetLink"/>
                  <w:rFonts w:ascii="Times New Roman;Times;serif" w:hAnsi="Times New Roman;Times;serif"/>
                  <w:b w:val="false"/>
                  <w:i w:val="false"/>
                  <w:caps w:val="false"/>
                  <w:smallCaps w:val="false"/>
                  <w:sz w:val="20"/>
                </w:rPr>
                <w:t>Mutual Termination Agreement, dated June 26, 2026, by and between Cheetah Net Supply Chain Service Inc. and AC Sunshine Securities LLC.</w:t>
              </w:r>
            </w:hyperlink>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8-K</w:t>
            </w:r>
          </w:p>
        </w:tc>
        <w:tc>
          <w:tcPr>
            <w:tcW w:w="346" w:type="dxa"/>
            <w:tcBorders/>
            <w:vAlign w:val="center"/>
          </w:tcPr>
          <w:p>
            <w:pPr>
              <w:pStyle w:val="TableContents"/>
              <w:bidi w:val="0"/>
              <w:spacing w:before="0" w:after="0"/>
              <w:ind w:left="0" w:right="0" w:hanging="0"/>
              <w:jc w:val="center"/>
              <w:rPr/>
            </w:pPr>
            <w:r>
              <w:rPr/>
              <w:t>​</w:t>
            </w:r>
          </w:p>
        </w:tc>
        <w:tc>
          <w:tcPr>
            <w:tcW w:w="617"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001-41761</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10.1</w:t>
            </w:r>
          </w:p>
        </w:tc>
        <w:tc>
          <w:tcPr>
            <w:tcW w:w="346" w:type="dxa"/>
            <w:tcBorders/>
            <w:vAlign w:val="center"/>
          </w:tcPr>
          <w:p>
            <w:pPr>
              <w:pStyle w:val="TableContents"/>
              <w:bidi w:val="0"/>
              <w:spacing w:before="0" w:after="0"/>
              <w:ind w:left="0" w:right="0" w:hanging="0"/>
              <w:jc w:val="center"/>
              <w:rPr/>
            </w:pPr>
            <w:r>
              <w:rPr/>
              <w:t>​</w:t>
            </w:r>
          </w:p>
        </w:tc>
        <w:tc>
          <w:tcPr>
            <w:tcW w:w="1038"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June 29, 2026</w:t>
            </w:r>
          </w:p>
        </w:tc>
      </w:tr>
      <w:tr>
        <w:trPr/>
        <w:tc>
          <w:tcPr>
            <w:tcW w:w="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9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1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38"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10.8</w:t>
            </w:r>
          </w:p>
        </w:tc>
        <w:tc>
          <w:tcPr>
            <w:tcW w:w="346" w:type="dxa"/>
            <w:tcBorders/>
            <w:vAlign w:val="center"/>
          </w:tcPr>
          <w:p>
            <w:pPr>
              <w:pStyle w:val="TableContents"/>
              <w:bidi w:val="0"/>
              <w:spacing w:before="0" w:after="0"/>
              <w:ind w:left="0" w:right="0" w:hanging="0"/>
              <w:jc w:val="left"/>
              <w:rPr/>
            </w:pPr>
            <w:r>
              <w:rPr/>
              <w:t>​</w:t>
            </w:r>
          </w:p>
        </w:tc>
        <w:tc>
          <w:tcPr>
            <w:tcW w:w="4972" w:type="dxa"/>
            <w:tcBorders/>
            <w:vAlign w:val="center"/>
          </w:tcPr>
          <w:p>
            <w:pPr>
              <w:pStyle w:val="TableContents"/>
              <w:bidi w:val="0"/>
              <w:spacing w:before="0" w:after="0"/>
              <w:ind w:left="0" w:right="0" w:hanging="0"/>
              <w:jc w:val="left"/>
              <w:rPr/>
            </w:pPr>
            <w:hyperlink w:anchor="ctnt-20260630xex10d8.htm">
              <w:r>
                <w:rPr>
                  <w:rStyle w:val="InternetLink"/>
                  <w:rFonts w:ascii="Times New Roman;Times;serif" w:hAnsi="Times New Roman;Times;serif"/>
                  <w:b w:val="false"/>
                  <w:i w:val="false"/>
                  <w:caps w:val="false"/>
                  <w:smallCaps w:val="false"/>
                  <w:sz w:val="20"/>
                </w:rPr>
                <w:t>English Translation of the Termination Agreement relating to the Partnership Agreement dated June 30, 2026, by and between Shanghai Kesheng Investment Management Co., Ltd. and Naiside (Shenzhen) International Trading Co., Ltd.</w:t>
              </w:r>
            </w:hyperlink>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1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38"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Filed herewith</w:t>
            </w:r>
          </w:p>
        </w:tc>
      </w:tr>
      <w:tr>
        <w:trPr/>
        <w:tc>
          <w:tcPr>
            <w:tcW w:w="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9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1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38"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10.9</w:t>
            </w:r>
          </w:p>
        </w:tc>
        <w:tc>
          <w:tcPr>
            <w:tcW w:w="346" w:type="dxa"/>
            <w:tcBorders/>
            <w:vAlign w:val="center"/>
          </w:tcPr>
          <w:p>
            <w:pPr>
              <w:pStyle w:val="TableContents"/>
              <w:bidi w:val="0"/>
              <w:spacing w:before="0" w:after="0"/>
              <w:ind w:left="0" w:right="0" w:hanging="0"/>
              <w:jc w:val="left"/>
              <w:rPr/>
            </w:pPr>
            <w:r>
              <w:rPr/>
              <w:t>​</w:t>
            </w:r>
          </w:p>
        </w:tc>
        <w:tc>
          <w:tcPr>
            <w:tcW w:w="4972" w:type="dxa"/>
            <w:tcBorders/>
            <w:vAlign w:val="center"/>
          </w:tcPr>
          <w:p>
            <w:pPr>
              <w:pStyle w:val="TableContents"/>
              <w:bidi w:val="0"/>
              <w:spacing w:before="0" w:after="0"/>
              <w:ind w:left="0" w:right="0" w:hanging="0"/>
              <w:jc w:val="left"/>
              <w:rPr/>
            </w:pPr>
            <w:hyperlink w:anchor="ctnt-20260630xex10d9.htm">
              <w:r>
                <w:rPr>
                  <w:rStyle w:val="InternetLink"/>
                  <w:rFonts w:ascii="Times New Roman;Times;serif" w:hAnsi="Times New Roman;Times;serif"/>
                  <w:b w:val="false"/>
                  <w:i w:val="false"/>
                  <w:caps w:val="false"/>
                  <w:smallCaps w:val="false"/>
                  <w:sz w:val="20"/>
                </w:rPr>
                <w:t>English Translation of the First Amendment to the Termination Agreement relating to the Partnership Agreement dated August 10, 2026, by and between Shanghai Kesheng Investment Management Co., Ltd. and Naiside (Shenzhen) International Trading Co., Ltd.</w:t>
              </w:r>
            </w:hyperlink>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1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38"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Filed herewith</w:t>
            </w:r>
          </w:p>
        </w:tc>
      </w:tr>
      <w:tr>
        <w:trPr/>
        <w:tc>
          <w:tcPr>
            <w:tcW w:w="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9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1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38"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10.10</w:t>
            </w:r>
          </w:p>
        </w:tc>
        <w:tc>
          <w:tcPr>
            <w:tcW w:w="346" w:type="dxa"/>
            <w:tcBorders/>
            <w:vAlign w:val="center"/>
          </w:tcPr>
          <w:p>
            <w:pPr>
              <w:pStyle w:val="TableContents"/>
              <w:bidi w:val="0"/>
              <w:spacing w:before="0" w:after="0"/>
              <w:ind w:left="0" w:right="0" w:hanging="0"/>
              <w:jc w:val="left"/>
              <w:rPr/>
            </w:pPr>
            <w:r>
              <w:rPr/>
              <w:t>​</w:t>
            </w:r>
          </w:p>
        </w:tc>
        <w:tc>
          <w:tcPr>
            <w:tcW w:w="4972" w:type="dxa"/>
            <w:tcBorders/>
            <w:vAlign w:val="center"/>
          </w:tcPr>
          <w:p>
            <w:pPr>
              <w:pStyle w:val="TableContents"/>
              <w:bidi w:val="0"/>
              <w:spacing w:before="0" w:after="0"/>
              <w:ind w:left="0" w:right="0" w:hanging="0"/>
              <w:jc w:val="left"/>
              <w:rPr/>
            </w:pPr>
            <w:hyperlink w:anchor="ctnt-20260630xex10d10.htm">
              <w:r>
                <w:rPr>
                  <w:rStyle w:val="InternetLink"/>
                  <w:rFonts w:ascii="Times New Roman;Times;serif" w:hAnsi="Times New Roman;Times;serif"/>
                  <w:b w:val="false"/>
                  <w:i w:val="false"/>
                  <w:caps w:val="false"/>
                  <w:smallCaps w:val="false"/>
                  <w:sz w:val="20"/>
                </w:rPr>
                <w:t>Loan Agreement dated May 14, 2026, by and between the Company and Hongkong Sanyou Petroleum Co Limited</w:t>
              </w:r>
            </w:hyperlink>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1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38"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Filed herewith</w:t>
            </w:r>
          </w:p>
        </w:tc>
      </w:tr>
      <w:tr>
        <w:trPr/>
        <w:tc>
          <w:tcPr>
            <w:tcW w:w="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9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1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38"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10.11</w:t>
            </w:r>
          </w:p>
        </w:tc>
        <w:tc>
          <w:tcPr>
            <w:tcW w:w="346" w:type="dxa"/>
            <w:tcBorders/>
            <w:vAlign w:val="center"/>
          </w:tcPr>
          <w:p>
            <w:pPr>
              <w:pStyle w:val="TableContents"/>
              <w:bidi w:val="0"/>
              <w:spacing w:before="0" w:after="0"/>
              <w:ind w:left="0" w:right="0" w:hanging="0"/>
              <w:jc w:val="left"/>
              <w:rPr/>
            </w:pPr>
            <w:r>
              <w:rPr/>
              <w:t>​</w:t>
            </w:r>
          </w:p>
        </w:tc>
        <w:tc>
          <w:tcPr>
            <w:tcW w:w="4972" w:type="dxa"/>
            <w:tcBorders/>
            <w:vAlign w:val="center"/>
          </w:tcPr>
          <w:p>
            <w:pPr>
              <w:pStyle w:val="TableContents"/>
              <w:bidi w:val="0"/>
              <w:spacing w:before="0" w:after="0"/>
              <w:ind w:left="0" w:right="0" w:hanging="0"/>
              <w:jc w:val="left"/>
              <w:rPr/>
            </w:pPr>
            <w:hyperlink w:anchor="ctnt-20260630xex10d11.htm">
              <w:r>
                <w:rPr>
                  <w:rStyle w:val="InternetLink"/>
                  <w:rFonts w:ascii="Times New Roman;Times;serif" w:hAnsi="Times New Roman;Times;serif"/>
                  <w:b w:val="false"/>
                  <w:i w:val="false"/>
                  <w:caps w:val="false"/>
                  <w:smallCaps w:val="false"/>
                  <w:sz w:val="20"/>
                </w:rPr>
                <w:t>Loan Agreement dated May 21, 2026, by and between the Company and Hongkong Sanyou Petroleum Co Limited</w:t>
              </w:r>
            </w:hyperlink>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1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38"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Filed herewith</w:t>
            </w:r>
          </w:p>
        </w:tc>
      </w:tr>
      <w:tr>
        <w:trPr/>
        <w:tc>
          <w:tcPr>
            <w:tcW w:w="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9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1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38"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10.12</w:t>
            </w:r>
          </w:p>
        </w:tc>
        <w:tc>
          <w:tcPr>
            <w:tcW w:w="346" w:type="dxa"/>
            <w:tcBorders/>
            <w:vAlign w:val="center"/>
          </w:tcPr>
          <w:p>
            <w:pPr>
              <w:pStyle w:val="TableContents"/>
              <w:bidi w:val="0"/>
              <w:spacing w:before="0" w:after="0"/>
              <w:ind w:left="0" w:right="0" w:hanging="0"/>
              <w:jc w:val="left"/>
              <w:rPr/>
            </w:pPr>
            <w:r>
              <w:rPr/>
              <w:t>​</w:t>
            </w:r>
          </w:p>
        </w:tc>
        <w:tc>
          <w:tcPr>
            <w:tcW w:w="4972" w:type="dxa"/>
            <w:tcBorders/>
            <w:vAlign w:val="center"/>
          </w:tcPr>
          <w:p>
            <w:pPr>
              <w:pStyle w:val="TableContents"/>
              <w:bidi w:val="0"/>
              <w:spacing w:before="0" w:after="0"/>
              <w:ind w:left="0" w:right="0" w:hanging="0"/>
              <w:jc w:val="left"/>
              <w:rPr/>
            </w:pPr>
            <w:hyperlink w:anchor="ctnt-20260630xex10d12.htm">
              <w:r>
                <w:rPr>
                  <w:rStyle w:val="InternetLink"/>
                  <w:rFonts w:ascii="Times New Roman;Times;serif" w:hAnsi="Times New Roman;Times;serif"/>
                  <w:b w:val="false"/>
                  <w:i w:val="false"/>
                  <w:caps w:val="false"/>
                  <w:smallCaps w:val="false"/>
                  <w:sz w:val="20"/>
                </w:rPr>
                <w:t>Loan Agreement dated May 11, 2026, by and between the Company and Asia Finance Investment Limited</w:t>
              </w:r>
            </w:hyperlink>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1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38"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Filed herewith</w:t>
            </w:r>
          </w:p>
        </w:tc>
      </w:tr>
      <w:tr>
        <w:trPr/>
        <w:tc>
          <w:tcPr>
            <w:tcW w:w="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9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1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38"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10.13</w:t>
            </w:r>
          </w:p>
        </w:tc>
        <w:tc>
          <w:tcPr>
            <w:tcW w:w="346" w:type="dxa"/>
            <w:tcBorders/>
            <w:vAlign w:val="center"/>
          </w:tcPr>
          <w:p>
            <w:pPr>
              <w:pStyle w:val="TableContents"/>
              <w:bidi w:val="0"/>
              <w:spacing w:before="0" w:after="0"/>
              <w:ind w:left="0" w:right="0" w:hanging="0"/>
              <w:jc w:val="left"/>
              <w:rPr/>
            </w:pPr>
            <w:r>
              <w:rPr/>
              <w:t>​</w:t>
            </w:r>
          </w:p>
        </w:tc>
        <w:tc>
          <w:tcPr>
            <w:tcW w:w="4972" w:type="dxa"/>
            <w:tcBorders/>
            <w:vAlign w:val="center"/>
          </w:tcPr>
          <w:p>
            <w:pPr>
              <w:pStyle w:val="TableContents"/>
              <w:bidi w:val="0"/>
              <w:spacing w:before="0" w:after="0"/>
              <w:ind w:left="0" w:right="0" w:hanging="0"/>
              <w:jc w:val="left"/>
              <w:rPr/>
            </w:pPr>
            <w:hyperlink w:anchor="ctnt-20260630xex10d13.htm">
              <w:r>
                <w:rPr>
                  <w:rStyle w:val="InternetLink"/>
                  <w:rFonts w:ascii="Times New Roman;Times;serif" w:hAnsi="Times New Roman;Times;serif"/>
                  <w:b w:val="false"/>
                  <w:i w:val="false"/>
                  <w:caps w:val="false"/>
                  <w:smallCaps w:val="false"/>
                  <w:sz w:val="20"/>
                </w:rPr>
                <w:t>Loan Agreement dated May 21, 2026, by and between the Company and Asia Finance Investment Limited</w:t>
              </w:r>
            </w:hyperlink>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1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38"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Filed herewith</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42"/>
        <w:gridCol w:w="109"/>
        <w:gridCol w:w="6363"/>
        <w:gridCol w:w="109"/>
        <w:gridCol w:w="360"/>
        <w:gridCol w:w="109"/>
        <w:gridCol w:w="716"/>
        <w:gridCol w:w="109"/>
        <w:gridCol w:w="421"/>
        <w:gridCol w:w="109"/>
        <w:gridCol w:w="1158"/>
      </w:tblGrid>
      <w:tr>
        <w:trPr/>
        <w:tc>
          <w:tcPr>
            <w:tcW w:w="64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36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6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58" w:type="dxa"/>
            <w:tcBorders/>
            <w:vAlign w:val="center"/>
          </w:tcPr>
          <w:p>
            <w:pPr>
              <w:pStyle w:val="TableContents"/>
              <w:bidi w:val="0"/>
              <w:spacing w:before="0" w:after="0"/>
              <w:ind w:left="0" w:right="0" w:hanging="0"/>
              <w:jc w:val="center"/>
              <w:rPr/>
            </w:pPr>
            <w:r>
              <w:rPr/>
              <w:t>​</w:t>
            </w:r>
          </w:p>
        </w:tc>
      </w:tr>
      <w:tr>
        <w:trPr/>
        <w:tc>
          <w:tcPr>
            <w:tcW w:w="642"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10.14</w:t>
            </w:r>
          </w:p>
        </w:tc>
        <w:tc>
          <w:tcPr>
            <w:tcW w:w="109" w:type="dxa"/>
            <w:tcBorders/>
            <w:vAlign w:val="center"/>
          </w:tcPr>
          <w:p>
            <w:pPr>
              <w:pStyle w:val="TableContents"/>
              <w:bidi w:val="0"/>
              <w:spacing w:before="0" w:after="0"/>
              <w:ind w:left="0" w:right="0" w:hanging="0"/>
              <w:jc w:val="left"/>
              <w:rPr/>
            </w:pPr>
            <w:r>
              <w:rPr/>
              <w:t>​</w:t>
            </w:r>
          </w:p>
        </w:tc>
        <w:tc>
          <w:tcPr>
            <w:tcW w:w="6363" w:type="dxa"/>
            <w:tcBorders/>
            <w:vAlign w:val="center"/>
          </w:tcPr>
          <w:p>
            <w:pPr>
              <w:pStyle w:val="TableContents"/>
              <w:bidi w:val="0"/>
              <w:spacing w:before="0" w:after="0"/>
              <w:ind w:left="0" w:right="0" w:hanging="0"/>
              <w:jc w:val="left"/>
              <w:rPr/>
            </w:pPr>
            <w:hyperlink w:anchor="ctnt-20260630xex10d14.htm">
              <w:r>
                <w:rPr>
                  <w:rStyle w:val="InternetLink"/>
                  <w:rFonts w:ascii="Times New Roman;Times;serif" w:hAnsi="Times New Roman;Times;serif"/>
                  <w:b w:val="false"/>
                  <w:i w:val="false"/>
                  <w:caps w:val="false"/>
                  <w:smallCaps w:val="false"/>
                  <w:sz w:val="20"/>
                </w:rPr>
                <w:t>Loan Agreement dated June 26, 2026, by and between the Company and Asia Finance Investment Limited</w:t>
              </w:r>
            </w:hyperlink>
          </w:p>
        </w:tc>
        <w:tc>
          <w:tcPr>
            <w:tcW w:w="109" w:type="dxa"/>
            <w:tcBorders/>
            <w:vAlign w:val="center"/>
          </w:tcPr>
          <w:p>
            <w:pPr>
              <w:pStyle w:val="TableContents"/>
              <w:bidi w:val="0"/>
              <w:spacing w:before="0" w:after="0"/>
              <w:ind w:left="0" w:right="0" w:hanging="0"/>
              <w:jc w:val="center"/>
              <w:rPr/>
            </w:pPr>
            <w:r>
              <w:rPr/>
              <w:t>​</w:t>
            </w:r>
          </w:p>
        </w:tc>
        <w:tc>
          <w:tcPr>
            <w:tcW w:w="36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58"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Filed herewith</w:t>
            </w:r>
          </w:p>
        </w:tc>
      </w:tr>
      <w:tr>
        <w:trPr/>
        <w:tc>
          <w:tcPr>
            <w:tcW w:w="64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36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6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58" w:type="dxa"/>
            <w:tcBorders/>
            <w:vAlign w:val="center"/>
          </w:tcPr>
          <w:p>
            <w:pPr>
              <w:pStyle w:val="TableContents"/>
              <w:bidi w:val="0"/>
              <w:spacing w:before="0" w:after="0"/>
              <w:ind w:left="0" w:right="0" w:hanging="0"/>
              <w:jc w:val="center"/>
              <w:rPr/>
            </w:pPr>
            <w:r>
              <w:rPr/>
              <w:t>​</w:t>
            </w:r>
          </w:p>
        </w:tc>
      </w:tr>
      <w:tr>
        <w:trPr/>
        <w:tc>
          <w:tcPr>
            <w:tcW w:w="642"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10.15</w:t>
            </w:r>
          </w:p>
        </w:tc>
        <w:tc>
          <w:tcPr>
            <w:tcW w:w="109" w:type="dxa"/>
            <w:tcBorders/>
            <w:vAlign w:val="center"/>
          </w:tcPr>
          <w:p>
            <w:pPr>
              <w:pStyle w:val="TableContents"/>
              <w:bidi w:val="0"/>
              <w:spacing w:before="0" w:after="0"/>
              <w:ind w:left="0" w:right="0" w:hanging="0"/>
              <w:jc w:val="left"/>
              <w:rPr/>
            </w:pPr>
            <w:r>
              <w:rPr/>
              <w:t>​</w:t>
            </w:r>
          </w:p>
        </w:tc>
        <w:tc>
          <w:tcPr>
            <w:tcW w:w="6363" w:type="dxa"/>
            <w:tcBorders/>
            <w:vAlign w:val="center"/>
          </w:tcPr>
          <w:p>
            <w:pPr>
              <w:pStyle w:val="TableContents"/>
              <w:bidi w:val="0"/>
              <w:spacing w:before="0" w:after="0"/>
              <w:ind w:left="0" w:right="0" w:hanging="0"/>
              <w:jc w:val="left"/>
              <w:rPr/>
            </w:pPr>
            <w:hyperlink w:anchor="ctnt-20260630xex10d15.htm">
              <w:r>
                <w:rPr>
                  <w:rStyle w:val="InternetLink"/>
                  <w:rFonts w:ascii="Times New Roman;Times;serif" w:hAnsi="Times New Roman;Times;serif"/>
                  <w:b w:val="false"/>
                  <w:i w:val="false"/>
                  <w:caps w:val="false"/>
                  <w:smallCaps w:val="false"/>
                  <w:sz w:val="20"/>
                </w:rPr>
                <w:t>Loan Extension Agreement effective as of June 13, 2026, by and between the Company and Asia Finance Investment Limited</w:t>
              </w:r>
            </w:hyperlink>
          </w:p>
        </w:tc>
        <w:tc>
          <w:tcPr>
            <w:tcW w:w="109" w:type="dxa"/>
            <w:tcBorders/>
            <w:vAlign w:val="center"/>
          </w:tcPr>
          <w:p>
            <w:pPr>
              <w:pStyle w:val="TableContents"/>
              <w:bidi w:val="0"/>
              <w:spacing w:before="0" w:after="0"/>
              <w:ind w:left="0" w:right="0" w:hanging="0"/>
              <w:jc w:val="center"/>
              <w:rPr/>
            </w:pPr>
            <w:r>
              <w:rPr/>
              <w:t>​</w:t>
            </w:r>
          </w:p>
        </w:tc>
        <w:tc>
          <w:tcPr>
            <w:tcW w:w="36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58"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Filed herewith</w:t>
            </w:r>
          </w:p>
        </w:tc>
      </w:tr>
      <w:tr>
        <w:trPr/>
        <w:tc>
          <w:tcPr>
            <w:tcW w:w="64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36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6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58" w:type="dxa"/>
            <w:tcBorders/>
            <w:vAlign w:val="center"/>
          </w:tcPr>
          <w:p>
            <w:pPr>
              <w:pStyle w:val="TableContents"/>
              <w:bidi w:val="0"/>
              <w:spacing w:before="0" w:after="0"/>
              <w:ind w:left="0" w:right="0" w:hanging="0"/>
              <w:jc w:val="center"/>
              <w:rPr/>
            </w:pPr>
            <w:r>
              <w:rPr/>
              <w:t>​</w:t>
            </w:r>
          </w:p>
        </w:tc>
      </w:tr>
      <w:tr>
        <w:trPr/>
        <w:tc>
          <w:tcPr>
            <w:tcW w:w="642"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10.16</w:t>
            </w:r>
          </w:p>
        </w:tc>
        <w:tc>
          <w:tcPr>
            <w:tcW w:w="109" w:type="dxa"/>
            <w:tcBorders/>
            <w:vAlign w:val="center"/>
          </w:tcPr>
          <w:p>
            <w:pPr>
              <w:pStyle w:val="TableContents"/>
              <w:bidi w:val="0"/>
              <w:spacing w:before="0" w:after="0"/>
              <w:ind w:left="0" w:right="0" w:hanging="0"/>
              <w:jc w:val="left"/>
              <w:rPr/>
            </w:pPr>
            <w:r>
              <w:rPr/>
              <w:t>​</w:t>
            </w:r>
          </w:p>
        </w:tc>
        <w:tc>
          <w:tcPr>
            <w:tcW w:w="6363" w:type="dxa"/>
            <w:tcBorders/>
            <w:vAlign w:val="center"/>
          </w:tcPr>
          <w:p>
            <w:pPr>
              <w:pStyle w:val="TableContents"/>
              <w:bidi w:val="0"/>
              <w:spacing w:before="0" w:after="0"/>
              <w:ind w:left="0" w:right="0" w:hanging="0"/>
              <w:jc w:val="left"/>
              <w:rPr/>
            </w:pPr>
            <w:hyperlink w:anchor="ctnt-20260630xex10d16.htm">
              <w:r>
                <w:rPr>
                  <w:rStyle w:val="InternetLink"/>
                  <w:rFonts w:ascii="Times New Roman;Times;serif" w:hAnsi="Times New Roman;Times;serif"/>
                  <w:b w:val="false"/>
                  <w:i w:val="false"/>
                  <w:caps w:val="false"/>
                  <w:smallCaps w:val="false"/>
                  <w:sz w:val="20"/>
                </w:rPr>
                <w:t>Loan Extension Agreement effective as of June 26, 2026, by and between the Company and Asia Finance Investment Limited</w:t>
              </w:r>
            </w:hyperlink>
          </w:p>
        </w:tc>
        <w:tc>
          <w:tcPr>
            <w:tcW w:w="109" w:type="dxa"/>
            <w:tcBorders/>
            <w:vAlign w:val="center"/>
          </w:tcPr>
          <w:p>
            <w:pPr>
              <w:pStyle w:val="TableContents"/>
              <w:bidi w:val="0"/>
              <w:spacing w:before="0" w:after="0"/>
              <w:ind w:left="0" w:right="0" w:hanging="0"/>
              <w:jc w:val="center"/>
              <w:rPr/>
            </w:pPr>
            <w:r>
              <w:rPr/>
              <w:t>​</w:t>
            </w:r>
          </w:p>
        </w:tc>
        <w:tc>
          <w:tcPr>
            <w:tcW w:w="36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58"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Filed herewith</w:t>
            </w:r>
          </w:p>
        </w:tc>
      </w:tr>
      <w:tr>
        <w:trPr/>
        <w:tc>
          <w:tcPr>
            <w:tcW w:w="64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36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6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58" w:type="dxa"/>
            <w:tcBorders/>
            <w:vAlign w:val="center"/>
          </w:tcPr>
          <w:p>
            <w:pPr>
              <w:pStyle w:val="TableContents"/>
              <w:bidi w:val="0"/>
              <w:spacing w:before="0" w:after="0"/>
              <w:ind w:left="0" w:right="0" w:hanging="0"/>
              <w:jc w:val="center"/>
              <w:rPr/>
            </w:pPr>
            <w:r>
              <w:rPr/>
              <w:t>​</w:t>
            </w:r>
          </w:p>
        </w:tc>
      </w:tr>
      <w:tr>
        <w:trPr/>
        <w:tc>
          <w:tcPr>
            <w:tcW w:w="642"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10.17</w:t>
            </w:r>
          </w:p>
        </w:tc>
        <w:tc>
          <w:tcPr>
            <w:tcW w:w="109" w:type="dxa"/>
            <w:tcBorders/>
            <w:vAlign w:val="center"/>
          </w:tcPr>
          <w:p>
            <w:pPr>
              <w:pStyle w:val="TableContents"/>
              <w:bidi w:val="0"/>
              <w:spacing w:before="0" w:after="0"/>
              <w:ind w:left="0" w:right="0" w:hanging="0"/>
              <w:jc w:val="left"/>
              <w:rPr/>
            </w:pPr>
            <w:r>
              <w:rPr/>
              <w:t>​</w:t>
            </w:r>
          </w:p>
        </w:tc>
        <w:tc>
          <w:tcPr>
            <w:tcW w:w="6363" w:type="dxa"/>
            <w:tcBorders/>
            <w:vAlign w:val="center"/>
          </w:tcPr>
          <w:p>
            <w:pPr>
              <w:pStyle w:val="TableContents"/>
              <w:bidi w:val="0"/>
              <w:spacing w:before="0" w:after="0"/>
              <w:ind w:left="0" w:right="0" w:hanging="0"/>
              <w:jc w:val="left"/>
              <w:rPr/>
            </w:pPr>
            <w:hyperlink w:anchor="ctnt-20260630xex10d17.htm">
              <w:r>
                <w:rPr>
                  <w:rStyle w:val="InternetLink"/>
                  <w:rFonts w:ascii="Times New Roman;Times;serif" w:hAnsi="Times New Roman;Times;serif"/>
                  <w:b w:val="false"/>
                  <w:i w:val="false"/>
                  <w:caps w:val="false"/>
                  <w:smallCaps w:val="false"/>
                  <w:sz w:val="20"/>
                </w:rPr>
                <w:t>Purchase Agreement dated June 9, 2026, by and between the Company and Eurosun Holdings Inc Corporation.</w:t>
              </w:r>
            </w:hyperlink>
          </w:p>
        </w:tc>
        <w:tc>
          <w:tcPr>
            <w:tcW w:w="109" w:type="dxa"/>
            <w:tcBorders/>
            <w:vAlign w:val="center"/>
          </w:tcPr>
          <w:p>
            <w:pPr>
              <w:pStyle w:val="TableContents"/>
              <w:bidi w:val="0"/>
              <w:spacing w:before="0" w:after="0"/>
              <w:ind w:left="0" w:right="0" w:hanging="0"/>
              <w:jc w:val="center"/>
              <w:rPr/>
            </w:pPr>
            <w:r>
              <w:rPr/>
              <w:t>​</w:t>
            </w:r>
          </w:p>
        </w:tc>
        <w:tc>
          <w:tcPr>
            <w:tcW w:w="36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58"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Filed herewith</w:t>
            </w:r>
          </w:p>
        </w:tc>
      </w:tr>
      <w:tr>
        <w:trPr/>
        <w:tc>
          <w:tcPr>
            <w:tcW w:w="64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36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6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58" w:type="dxa"/>
            <w:tcBorders/>
            <w:vAlign w:val="center"/>
          </w:tcPr>
          <w:p>
            <w:pPr>
              <w:pStyle w:val="TableContents"/>
              <w:bidi w:val="0"/>
              <w:spacing w:before="0" w:after="0"/>
              <w:ind w:left="0" w:right="0" w:hanging="0"/>
              <w:jc w:val="center"/>
              <w:rPr/>
            </w:pPr>
            <w:r>
              <w:rPr/>
              <w:t>​</w:t>
            </w:r>
          </w:p>
        </w:tc>
      </w:tr>
      <w:tr>
        <w:trPr/>
        <w:tc>
          <w:tcPr>
            <w:tcW w:w="642"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10.18</w:t>
            </w:r>
          </w:p>
        </w:tc>
        <w:tc>
          <w:tcPr>
            <w:tcW w:w="109" w:type="dxa"/>
            <w:tcBorders/>
            <w:vAlign w:val="center"/>
          </w:tcPr>
          <w:p>
            <w:pPr>
              <w:pStyle w:val="TableContents"/>
              <w:bidi w:val="0"/>
              <w:spacing w:before="0" w:after="0"/>
              <w:ind w:left="0" w:right="0" w:hanging="0"/>
              <w:jc w:val="left"/>
              <w:rPr/>
            </w:pPr>
            <w:r>
              <w:rPr/>
              <w:t>​</w:t>
            </w:r>
          </w:p>
        </w:tc>
        <w:tc>
          <w:tcPr>
            <w:tcW w:w="6363" w:type="dxa"/>
            <w:tcBorders/>
            <w:vAlign w:val="center"/>
          </w:tcPr>
          <w:p>
            <w:pPr>
              <w:pStyle w:val="TableContents"/>
              <w:bidi w:val="0"/>
              <w:spacing w:before="0" w:after="0"/>
              <w:ind w:left="0" w:right="0" w:hanging="0"/>
              <w:jc w:val="left"/>
              <w:rPr/>
            </w:pPr>
            <w:hyperlink w:anchor="ctnt-20260630xex10d18.htm">
              <w:r>
                <w:rPr>
                  <w:rStyle w:val="InternetLink"/>
                  <w:rFonts w:ascii="Times New Roman;Times;serif" w:hAnsi="Times New Roman;Times;serif"/>
                  <w:b w:val="false"/>
                  <w:i w:val="false"/>
                  <w:caps w:val="false"/>
                  <w:smallCaps w:val="false"/>
                  <w:sz w:val="20"/>
                </w:rPr>
                <w:t>Purchase Agreement dated June 10, 2026, by and between Super International Trading Limited and Yichang Holding Co., Ltd.</w:t>
              </w:r>
            </w:hyperlink>
          </w:p>
        </w:tc>
        <w:tc>
          <w:tcPr>
            <w:tcW w:w="109" w:type="dxa"/>
            <w:tcBorders/>
            <w:vAlign w:val="center"/>
          </w:tcPr>
          <w:p>
            <w:pPr>
              <w:pStyle w:val="TableContents"/>
              <w:bidi w:val="0"/>
              <w:spacing w:before="0" w:after="0"/>
              <w:ind w:left="0" w:right="0" w:hanging="0"/>
              <w:jc w:val="center"/>
              <w:rPr/>
            </w:pPr>
            <w:r>
              <w:rPr/>
              <w:t>​</w:t>
            </w:r>
          </w:p>
        </w:tc>
        <w:tc>
          <w:tcPr>
            <w:tcW w:w="36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58"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Filed herewith</w:t>
            </w:r>
          </w:p>
        </w:tc>
      </w:tr>
      <w:tr>
        <w:trPr/>
        <w:tc>
          <w:tcPr>
            <w:tcW w:w="64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36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6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58" w:type="dxa"/>
            <w:tcBorders/>
            <w:vAlign w:val="center"/>
          </w:tcPr>
          <w:p>
            <w:pPr>
              <w:pStyle w:val="TableContents"/>
              <w:bidi w:val="0"/>
              <w:spacing w:before="0" w:after="0"/>
              <w:ind w:left="0" w:right="0" w:hanging="0"/>
              <w:jc w:val="center"/>
              <w:rPr/>
            </w:pPr>
            <w:r>
              <w:rPr/>
              <w:t>​</w:t>
            </w:r>
          </w:p>
        </w:tc>
      </w:tr>
      <w:tr>
        <w:trPr/>
        <w:tc>
          <w:tcPr>
            <w:tcW w:w="642"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10.19</w:t>
            </w:r>
          </w:p>
        </w:tc>
        <w:tc>
          <w:tcPr>
            <w:tcW w:w="109" w:type="dxa"/>
            <w:tcBorders/>
            <w:vAlign w:val="center"/>
          </w:tcPr>
          <w:p>
            <w:pPr>
              <w:pStyle w:val="TableContents"/>
              <w:bidi w:val="0"/>
              <w:spacing w:before="0" w:after="0"/>
              <w:ind w:left="0" w:right="0" w:hanging="0"/>
              <w:jc w:val="left"/>
              <w:rPr/>
            </w:pPr>
            <w:r>
              <w:rPr/>
              <w:t>​</w:t>
            </w:r>
          </w:p>
        </w:tc>
        <w:tc>
          <w:tcPr>
            <w:tcW w:w="6363" w:type="dxa"/>
            <w:tcBorders/>
            <w:vAlign w:val="center"/>
          </w:tcPr>
          <w:p>
            <w:pPr>
              <w:pStyle w:val="TableContents"/>
              <w:bidi w:val="0"/>
              <w:spacing w:before="0" w:after="0"/>
              <w:ind w:left="0" w:right="0" w:hanging="0"/>
              <w:jc w:val="left"/>
              <w:rPr/>
            </w:pPr>
            <w:hyperlink w:anchor="ctnt-20260630xex10d19.htm">
              <w:r>
                <w:rPr>
                  <w:rStyle w:val="InternetLink"/>
                  <w:rFonts w:ascii="Times New Roman;Times;serif" w:hAnsi="Times New Roman;Times;serif"/>
                  <w:b w:val="false"/>
                  <w:i w:val="false"/>
                  <w:caps w:val="false"/>
                  <w:smallCaps w:val="false"/>
                  <w:sz w:val="20"/>
                </w:rPr>
                <w:t>Sales Agreement dated June 15, 2026, by and between Super International Trading Limited and Rapid Proceed Limited.</w:t>
              </w:r>
            </w:hyperlink>
          </w:p>
        </w:tc>
        <w:tc>
          <w:tcPr>
            <w:tcW w:w="109" w:type="dxa"/>
            <w:tcBorders/>
            <w:vAlign w:val="center"/>
          </w:tcPr>
          <w:p>
            <w:pPr>
              <w:pStyle w:val="TableContents"/>
              <w:bidi w:val="0"/>
              <w:spacing w:before="0" w:after="0"/>
              <w:ind w:left="0" w:right="0" w:hanging="0"/>
              <w:jc w:val="center"/>
              <w:rPr/>
            </w:pPr>
            <w:r>
              <w:rPr/>
              <w:t>​</w:t>
            </w:r>
          </w:p>
        </w:tc>
        <w:tc>
          <w:tcPr>
            <w:tcW w:w="36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58"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Filed herewith</w:t>
            </w:r>
          </w:p>
        </w:tc>
      </w:tr>
      <w:tr>
        <w:trPr/>
        <w:tc>
          <w:tcPr>
            <w:tcW w:w="64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36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6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58" w:type="dxa"/>
            <w:tcBorders/>
            <w:vAlign w:val="center"/>
          </w:tcPr>
          <w:p>
            <w:pPr>
              <w:pStyle w:val="TableContents"/>
              <w:bidi w:val="0"/>
              <w:spacing w:before="0" w:after="0"/>
              <w:ind w:left="0" w:right="0" w:hanging="0"/>
              <w:jc w:val="center"/>
              <w:rPr/>
            </w:pPr>
            <w:r>
              <w:rPr/>
              <w:t>​</w:t>
            </w:r>
          </w:p>
        </w:tc>
      </w:tr>
      <w:tr>
        <w:trPr/>
        <w:tc>
          <w:tcPr>
            <w:tcW w:w="642"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10.20</w:t>
            </w:r>
          </w:p>
        </w:tc>
        <w:tc>
          <w:tcPr>
            <w:tcW w:w="109" w:type="dxa"/>
            <w:tcBorders/>
            <w:vAlign w:val="center"/>
          </w:tcPr>
          <w:p>
            <w:pPr>
              <w:pStyle w:val="TableContents"/>
              <w:bidi w:val="0"/>
              <w:spacing w:before="0" w:after="0"/>
              <w:ind w:left="0" w:right="0" w:hanging="0"/>
              <w:jc w:val="left"/>
              <w:rPr/>
            </w:pPr>
            <w:r>
              <w:rPr/>
              <w:t>​</w:t>
            </w:r>
          </w:p>
        </w:tc>
        <w:tc>
          <w:tcPr>
            <w:tcW w:w="6363" w:type="dxa"/>
            <w:tcBorders/>
            <w:vAlign w:val="center"/>
          </w:tcPr>
          <w:p>
            <w:pPr>
              <w:pStyle w:val="TableContents"/>
              <w:bidi w:val="0"/>
              <w:spacing w:before="0" w:after="0"/>
              <w:ind w:left="0" w:right="0" w:hanging="0"/>
              <w:jc w:val="left"/>
              <w:rPr/>
            </w:pPr>
            <w:hyperlink w:anchor="ctnt-20260630xex10d20.htm">
              <w:r>
                <w:rPr>
                  <w:rStyle w:val="InternetLink"/>
                  <w:rFonts w:ascii="Times New Roman;Times;serif" w:hAnsi="Times New Roman;Times;serif"/>
                  <w:b w:val="false"/>
                  <w:i w:val="false"/>
                  <w:caps w:val="false"/>
                  <w:smallCaps w:val="false"/>
                  <w:sz w:val="20"/>
                </w:rPr>
                <w:t>Sales Agreement dated June 18, 2026, by and between the Company and Holywud (HK) Technology Co., Limited.</w:t>
              </w:r>
            </w:hyperlink>
          </w:p>
        </w:tc>
        <w:tc>
          <w:tcPr>
            <w:tcW w:w="109" w:type="dxa"/>
            <w:tcBorders/>
            <w:vAlign w:val="center"/>
          </w:tcPr>
          <w:p>
            <w:pPr>
              <w:pStyle w:val="TableContents"/>
              <w:bidi w:val="0"/>
              <w:spacing w:before="0" w:after="0"/>
              <w:ind w:left="0" w:right="0" w:hanging="0"/>
              <w:jc w:val="center"/>
              <w:rPr/>
            </w:pPr>
            <w:r>
              <w:rPr/>
              <w:t>​</w:t>
            </w:r>
          </w:p>
        </w:tc>
        <w:tc>
          <w:tcPr>
            <w:tcW w:w="36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58"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Filed herewith</w:t>
            </w:r>
          </w:p>
        </w:tc>
      </w:tr>
      <w:tr>
        <w:trPr/>
        <w:tc>
          <w:tcPr>
            <w:tcW w:w="64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36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6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58" w:type="dxa"/>
            <w:tcBorders/>
            <w:vAlign w:val="center"/>
          </w:tcPr>
          <w:p>
            <w:pPr>
              <w:pStyle w:val="TableContents"/>
              <w:bidi w:val="0"/>
              <w:spacing w:before="0" w:after="0"/>
              <w:ind w:left="0" w:right="0" w:hanging="0"/>
              <w:jc w:val="center"/>
              <w:rPr/>
            </w:pPr>
            <w:r>
              <w:rPr/>
              <w:t>​</w:t>
            </w:r>
          </w:p>
        </w:tc>
      </w:tr>
      <w:tr>
        <w:trPr/>
        <w:tc>
          <w:tcPr>
            <w:tcW w:w="642"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10.21</w:t>
            </w:r>
          </w:p>
        </w:tc>
        <w:tc>
          <w:tcPr>
            <w:tcW w:w="109" w:type="dxa"/>
            <w:tcBorders/>
            <w:vAlign w:val="center"/>
          </w:tcPr>
          <w:p>
            <w:pPr>
              <w:pStyle w:val="TableContents"/>
              <w:bidi w:val="0"/>
              <w:spacing w:before="0" w:after="0"/>
              <w:ind w:left="0" w:right="0" w:hanging="0"/>
              <w:jc w:val="left"/>
              <w:rPr/>
            </w:pPr>
            <w:r>
              <w:rPr/>
              <w:t>​</w:t>
            </w:r>
          </w:p>
        </w:tc>
        <w:tc>
          <w:tcPr>
            <w:tcW w:w="6363" w:type="dxa"/>
            <w:tcBorders/>
            <w:vAlign w:val="center"/>
          </w:tcPr>
          <w:p>
            <w:pPr>
              <w:pStyle w:val="TableContents"/>
              <w:bidi w:val="0"/>
              <w:spacing w:before="0" w:after="0"/>
              <w:ind w:left="0" w:right="0" w:hanging="0"/>
              <w:jc w:val="left"/>
              <w:rPr/>
            </w:pPr>
            <w:hyperlink r:id="rId15">
              <w:r>
                <w:rPr>
                  <w:rStyle w:val="InternetLink"/>
                  <w:rFonts w:ascii="Times New Roman;Times;serif" w:hAnsi="Times New Roman;Times;serif"/>
                  <w:b w:val="false"/>
                  <w:i w:val="false"/>
                  <w:caps w:val="false"/>
                  <w:smallCaps w:val="false"/>
                  <w:sz w:val="20"/>
                </w:rPr>
                <w:t>Stock Purchase Agreement dated March 25, 2026, by and among the Company, Bing Shao, and Edward Transit Express Group, Inc.</w:t>
              </w:r>
            </w:hyperlink>
          </w:p>
        </w:tc>
        <w:tc>
          <w:tcPr>
            <w:tcW w:w="109" w:type="dxa"/>
            <w:tcBorders/>
            <w:vAlign w:val="center"/>
          </w:tcPr>
          <w:p>
            <w:pPr>
              <w:pStyle w:val="TableContents"/>
              <w:bidi w:val="0"/>
              <w:spacing w:before="0" w:after="0"/>
              <w:ind w:left="0" w:right="0" w:hanging="0"/>
              <w:jc w:val="center"/>
              <w:rPr/>
            </w:pPr>
            <w:r>
              <w:rPr/>
              <w:t>​</w:t>
            </w:r>
          </w:p>
        </w:tc>
        <w:tc>
          <w:tcPr>
            <w:tcW w:w="360"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8-K</w:t>
            </w:r>
          </w:p>
        </w:tc>
        <w:tc>
          <w:tcPr>
            <w:tcW w:w="109" w:type="dxa"/>
            <w:tcBorders/>
            <w:vAlign w:val="center"/>
          </w:tcPr>
          <w:p>
            <w:pPr>
              <w:pStyle w:val="TableContents"/>
              <w:bidi w:val="0"/>
              <w:spacing w:before="0" w:after="0"/>
              <w:ind w:left="0" w:right="0" w:hanging="0"/>
              <w:jc w:val="center"/>
              <w:rPr/>
            </w:pPr>
            <w:r>
              <w:rPr/>
              <w:t>​</w:t>
            </w:r>
          </w:p>
        </w:tc>
        <w:tc>
          <w:tcPr>
            <w:tcW w:w="716"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001-41761</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10.1</w:t>
            </w:r>
          </w:p>
        </w:tc>
        <w:tc>
          <w:tcPr>
            <w:tcW w:w="109" w:type="dxa"/>
            <w:tcBorders/>
            <w:vAlign w:val="center"/>
          </w:tcPr>
          <w:p>
            <w:pPr>
              <w:pStyle w:val="TableContents"/>
              <w:bidi w:val="0"/>
              <w:spacing w:before="0" w:after="0"/>
              <w:ind w:left="0" w:right="0" w:hanging="0"/>
              <w:jc w:val="center"/>
              <w:rPr/>
            </w:pPr>
            <w:r>
              <w:rPr/>
              <w:t>​</w:t>
            </w:r>
          </w:p>
        </w:tc>
        <w:tc>
          <w:tcPr>
            <w:tcW w:w="1158"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March 25, 2026</w:t>
            </w:r>
          </w:p>
        </w:tc>
      </w:tr>
      <w:tr>
        <w:trPr/>
        <w:tc>
          <w:tcPr>
            <w:tcW w:w="64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36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6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58" w:type="dxa"/>
            <w:tcBorders/>
            <w:vAlign w:val="center"/>
          </w:tcPr>
          <w:p>
            <w:pPr>
              <w:pStyle w:val="TableContents"/>
              <w:bidi w:val="0"/>
              <w:spacing w:before="0" w:after="0"/>
              <w:ind w:left="0" w:right="0" w:hanging="0"/>
              <w:jc w:val="center"/>
              <w:rPr/>
            </w:pPr>
            <w:r>
              <w:rPr/>
              <w:t>​</w:t>
            </w:r>
          </w:p>
        </w:tc>
      </w:tr>
      <w:tr>
        <w:trPr/>
        <w:tc>
          <w:tcPr>
            <w:tcW w:w="642"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31.1</w:t>
            </w:r>
          </w:p>
        </w:tc>
        <w:tc>
          <w:tcPr>
            <w:tcW w:w="109" w:type="dxa"/>
            <w:tcBorders/>
            <w:vAlign w:val="center"/>
          </w:tcPr>
          <w:p>
            <w:pPr>
              <w:pStyle w:val="TableContents"/>
              <w:bidi w:val="0"/>
              <w:spacing w:before="0" w:after="0"/>
              <w:ind w:left="0" w:right="0" w:hanging="0"/>
              <w:jc w:val="left"/>
              <w:rPr/>
            </w:pPr>
            <w:r>
              <w:rPr/>
              <w:t>​</w:t>
            </w:r>
          </w:p>
        </w:tc>
        <w:tc>
          <w:tcPr>
            <w:tcW w:w="6363" w:type="dxa"/>
            <w:tcBorders/>
            <w:vAlign w:val="center"/>
          </w:tcPr>
          <w:p>
            <w:pPr>
              <w:pStyle w:val="TableContents"/>
              <w:bidi w:val="0"/>
              <w:spacing w:before="0" w:after="0"/>
              <w:ind w:left="0" w:right="0" w:hanging="0"/>
              <w:jc w:val="left"/>
              <w:rPr/>
            </w:pPr>
            <w:hyperlink w:anchor="ctnt-20260630xex31d1.htm">
              <w:r>
                <w:rPr>
                  <w:rStyle w:val="InternetLink"/>
                  <w:rFonts w:ascii="Times New Roman;Times;serif" w:hAnsi="Times New Roman;Times;serif"/>
                  <w:b w:val="false"/>
                  <w:i w:val="false"/>
                  <w:caps w:val="false"/>
                  <w:smallCaps w:val="false"/>
                  <w:sz w:val="20"/>
                </w:rPr>
                <w:t>Certification of Principal Executive Officer pursuant to Section 302 of the Sarbanes-Oxley Act of 2002</w:t>
              </w:r>
            </w:hyperlink>
          </w:p>
        </w:tc>
        <w:tc>
          <w:tcPr>
            <w:tcW w:w="109" w:type="dxa"/>
            <w:tcBorders/>
            <w:vAlign w:val="center"/>
          </w:tcPr>
          <w:p>
            <w:pPr>
              <w:pStyle w:val="TableContents"/>
              <w:bidi w:val="0"/>
              <w:spacing w:before="0" w:after="0"/>
              <w:ind w:left="0" w:right="0" w:hanging="0"/>
              <w:jc w:val="center"/>
              <w:rPr/>
            </w:pPr>
            <w:r>
              <w:rPr/>
              <w:t>​</w:t>
            </w:r>
          </w:p>
        </w:tc>
        <w:tc>
          <w:tcPr>
            <w:tcW w:w="36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58"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Filed herewith</w:t>
            </w:r>
          </w:p>
        </w:tc>
      </w:tr>
      <w:tr>
        <w:trPr/>
        <w:tc>
          <w:tcPr>
            <w:tcW w:w="64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36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6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58" w:type="dxa"/>
            <w:tcBorders/>
            <w:vAlign w:val="center"/>
          </w:tcPr>
          <w:p>
            <w:pPr>
              <w:pStyle w:val="TableContents"/>
              <w:bidi w:val="0"/>
              <w:spacing w:before="0" w:after="0"/>
              <w:ind w:left="0" w:right="0" w:hanging="0"/>
              <w:jc w:val="center"/>
              <w:rPr/>
            </w:pPr>
            <w:r>
              <w:rPr/>
              <w:t>​</w:t>
            </w:r>
          </w:p>
        </w:tc>
      </w:tr>
      <w:tr>
        <w:trPr/>
        <w:tc>
          <w:tcPr>
            <w:tcW w:w="642"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31.2</w:t>
            </w:r>
          </w:p>
        </w:tc>
        <w:tc>
          <w:tcPr>
            <w:tcW w:w="109" w:type="dxa"/>
            <w:tcBorders/>
            <w:vAlign w:val="center"/>
          </w:tcPr>
          <w:p>
            <w:pPr>
              <w:pStyle w:val="TableContents"/>
              <w:bidi w:val="0"/>
              <w:spacing w:before="0" w:after="0"/>
              <w:ind w:left="0" w:right="0" w:hanging="0"/>
              <w:jc w:val="left"/>
              <w:rPr/>
            </w:pPr>
            <w:r>
              <w:rPr/>
              <w:t>​</w:t>
            </w:r>
          </w:p>
        </w:tc>
        <w:tc>
          <w:tcPr>
            <w:tcW w:w="6363" w:type="dxa"/>
            <w:tcBorders/>
            <w:vAlign w:val="center"/>
          </w:tcPr>
          <w:p>
            <w:pPr>
              <w:pStyle w:val="TableContents"/>
              <w:bidi w:val="0"/>
              <w:spacing w:before="0" w:after="0"/>
              <w:ind w:left="0" w:right="0" w:hanging="0"/>
              <w:jc w:val="left"/>
              <w:rPr/>
            </w:pPr>
            <w:hyperlink w:anchor="ctnt-20260630xex31d2.htm">
              <w:r>
                <w:rPr>
                  <w:rStyle w:val="InternetLink"/>
                  <w:rFonts w:ascii="Times New Roman;Times;serif" w:hAnsi="Times New Roman;Times;serif"/>
                  <w:b w:val="false"/>
                  <w:i w:val="false"/>
                  <w:caps w:val="false"/>
                  <w:smallCaps w:val="false"/>
                  <w:sz w:val="20"/>
                </w:rPr>
                <w:t>Certification of Principal Financial Officer pursuant to Section 302 of the Sarbanes-Oxley Act of 2002</w:t>
              </w:r>
            </w:hyperlink>
          </w:p>
        </w:tc>
        <w:tc>
          <w:tcPr>
            <w:tcW w:w="109" w:type="dxa"/>
            <w:tcBorders/>
            <w:vAlign w:val="center"/>
          </w:tcPr>
          <w:p>
            <w:pPr>
              <w:pStyle w:val="TableContents"/>
              <w:bidi w:val="0"/>
              <w:spacing w:before="0" w:after="0"/>
              <w:ind w:left="0" w:right="0" w:hanging="0"/>
              <w:jc w:val="center"/>
              <w:rPr/>
            </w:pPr>
            <w:r>
              <w:rPr/>
              <w:t>​</w:t>
            </w:r>
          </w:p>
        </w:tc>
        <w:tc>
          <w:tcPr>
            <w:tcW w:w="36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58"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Filed herewith</w:t>
            </w:r>
          </w:p>
        </w:tc>
      </w:tr>
      <w:tr>
        <w:trPr/>
        <w:tc>
          <w:tcPr>
            <w:tcW w:w="64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36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6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58" w:type="dxa"/>
            <w:tcBorders/>
            <w:vAlign w:val="center"/>
          </w:tcPr>
          <w:p>
            <w:pPr>
              <w:pStyle w:val="TableContents"/>
              <w:bidi w:val="0"/>
              <w:spacing w:before="0" w:after="0"/>
              <w:ind w:left="0" w:right="0" w:hanging="0"/>
              <w:jc w:val="center"/>
              <w:rPr/>
            </w:pPr>
            <w:r>
              <w:rPr/>
              <w:t>​</w:t>
            </w:r>
          </w:p>
        </w:tc>
      </w:tr>
      <w:tr>
        <w:trPr/>
        <w:tc>
          <w:tcPr>
            <w:tcW w:w="642"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32.1*</w:t>
            </w:r>
          </w:p>
        </w:tc>
        <w:tc>
          <w:tcPr>
            <w:tcW w:w="109" w:type="dxa"/>
            <w:tcBorders/>
            <w:vAlign w:val="center"/>
          </w:tcPr>
          <w:p>
            <w:pPr>
              <w:pStyle w:val="TableContents"/>
              <w:bidi w:val="0"/>
              <w:spacing w:before="0" w:after="0"/>
              <w:ind w:left="0" w:right="0" w:hanging="0"/>
              <w:jc w:val="left"/>
              <w:rPr/>
            </w:pPr>
            <w:r>
              <w:rPr/>
              <w:t>​</w:t>
            </w:r>
          </w:p>
        </w:tc>
        <w:tc>
          <w:tcPr>
            <w:tcW w:w="6363" w:type="dxa"/>
            <w:tcBorders/>
            <w:vAlign w:val="center"/>
          </w:tcPr>
          <w:p>
            <w:pPr>
              <w:pStyle w:val="TableContents"/>
              <w:bidi w:val="0"/>
              <w:spacing w:before="0" w:after="0"/>
              <w:ind w:left="0" w:right="0" w:hanging="0"/>
              <w:jc w:val="left"/>
              <w:rPr/>
            </w:pPr>
            <w:hyperlink w:anchor="ctnt-20260630xex32d1.htm">
              <w:r>
                <w:rPr>
                  <w:rStyle w:val="InternetLink"/>
                  <w:rFonts w:ascii="Times New Roman;Times;serif" w:hAnsi="Times New Roman;Times;serif"/>
                  <w:b w:val="false"/>
                  <w:i w:val="false"/>
                  <w:caps w:val="false"/>
                  <w:smallCaps w:val="false"/>
                  <w:sz w:val="20"/>
                </w:rPr>
                <w:t>Certification of Principal Executive Officer pursuant to 18 U.S.C. 1350, as adopted pursuant to Section 906 of the Sarbanes-Oxley Act of 2002</w:t>
              </w:r>
            </w:hyperlink>
          </w:p>
        </w:tc>
        <w:tc>
          <w:tcPr>
            <w:tcW w:w="109" w:type="dxa"/>
            <w:tcBorders/>
            <w:vAlign w:val="center"/>
          </w:tcPr>
          <w:p>
            <w:pPr>
              <w:pStyle w:val="TableContents"/>
              <w:bidi w:val="0"/>
              <w:spacing w:before="0" w:after="0"/>
              <w:ind w:left="0" w:right="0" w:hanging="0"/>
              <w:jc w:val="center"/>
              <w:rPr/>
            </w:pPr>
            <w:r>
              <w:rPr/>
              <w:t>​</w:t>
            </w:r>
          </w:p>
        </w:tc>
        <w:tc>
          <w:tcPr>
            <w:tcW w:w="36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58"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Furnished herewith</w:t>
            </w:r>
          </w:p>
        </w:tc>
      </w:tr>
      <w:tr>
        <w:trPr/>
        <w:tc>
          <w:tcPr>
            <w:tcW w:w="64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36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6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58" w:type="dxa"/>
            <w:tcBorders/>
            <w:vAlign w:val="center"/>
          </w:tcPr>
          <w:p>
            <w:pPr>
              <w:pStyle w:val="TableContents"/>
              <w:bidi w:val="0"/>
              <w:spacing w:before="0" w:after="0"/>
              <w:ind w:left="0" w:right="0" w:hanging="0"/>
              <w:jc w:val="center"/>
              <w:rPr/>
            </w:pPr>
            <w:r>
              <w:rPr/>
              <w:t>​</w:t>
            </w:r>
          </w:p>
        </w:tc>
      </w:tr>
      <w:tr>
        <w:trPr/>
        <w:tc>
          <w:tcPr>
            <w:tcW w:w="642"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32.2*</w:t>
            </w:r>
          </w:p>
        </w:tc>
        <w:tc>
          <w:tcPr>
            <w:tcW w:w="109" w:type="dxa"/>
            <w:tcBorders/>
            <w:vAlign w:val="center"/>
          </w:tcPr>
          <w:p>
            <w:pPr>
              <w:pStyle w:val="TableContents"/>
              <w:bidi w:val="0"/>
              <w:spacing w:before="0" w:after="0"/>
              <w:ind w:left="0" w:right="0" w:hanging="0"/>
              <w:jc w:val="left"/>
              <w:rPr/>
            </w:pPr>
            <w:r>
              <w:rPr/>
              <w:t>​</w:t>
            </w:r>
          </w:p>
        </w:tc>
        <w:tc>
          <w:tcPr>
            <w:tcW w:w="6363" w:type="dxa"/>
            <w:tcBorders/>
            <w:vAlign w:val="center"/>
          </w:tcPr>
          <w:p>
            <w:pPr>
              <w:pStyle w:val="TableContents"/>
              <w:bidi w:val="0"/>
              <w:spacing w:before="0" w:after="0"/>
              <w:ind w:left="0" w:right="0" w:hanging="0"/>
              <w:jc w:val="left"/>
              <w:rPr/>
            </w:pPr>
            <w:hyperlink w:anchor="ctnt-20260630xex32d2.htm">
              <w:r>
                <w:rPr>
                  <w:rStyle w:val="InternetLink"/>
                  <w:rFonts w:ascii="Times New Roman;Times;serif" w:hAnsi="Times New Roman;Times;serif"/>
                  <w:b w:val="false"/>
                  <w:i w:val="false"/>
                  <w:caps w:val="false"/>
                  <w:smallCaps w:val="false"/>
                  <w:sz w:val="20"/>
                </w:rPr>
                <w:t>Certification of Principal Financial Officer pursuant to 18 U.S.C. 1350, as adopted pursuant to Section 906 of the Sarbanes-Oxley Act of 2002</w:t>
              </w:r>
            </w:hyperlink>
          </w:p>
        </w:tc>
        <w:tc>
          <w:tcPr>
            <w:tcW w:w="109" w:type="dxa"/>
            <w:tcBorders/>
            <w:vAlign w:val="center"/>
          </w:tcPr>
          <w:p>
            <w:pPr>
              <w:pStyle w:val="TableContents"/>
              <w:bidi w:val="0"/>
              <w:spacing w:before="0" w:after="0"/>
              <w:ind w:left="0" w:right="0" w:hanging="0"/>
              <w:jc w:val="center"/>
              <w:rPr/>
            </w:pPr>
            <w:r>
              <w:rPr/>
              <w:t>​</w:t>
            </w:r>
          </w:p>
        </w:tc>
        <w:tc>
          <w:tcPr>
            <w:tcW w:w="36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58"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Furnished herewith</w:t>
            </w:r>
          </w:p>
        </w:tc>
      </w:tr>
      <w:tr>
        <w:trPr/>
        <w:tc>
          <w:tcPr>
            <w:tcW w:w="64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36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6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58" w:type="dxa"/>
            <w:tcBorders/>
            <w:vAlign w:val="center"/>
          </w:tcPr>
          <w:p>
            <w:pPr>
              <w:pStyle w:val="TableContents"/>
              <w:bidi w:val="0"/>
              <w:spacing w:before="0" w:after="0"/>
              <w:ind w:left="0" w:right="0" w:hanging="0"/>
              <w:jc w:val="center"/>
              <w:rPr/>
            </w:pPr>
            <w:r>
              <w:rPr/>
              <w:t>​</w:t>
            </w:r>
          </w:p>
        </w:tc>
      </w:tr>
      <w:tr>
        <w:trPr/>
        <w:tc>
          <w:tcPr>
            <w:tcW w:w="642"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101.INS</w:t>
            </w:r>
          </w:p>
        </w:tc>
        <w:tc>
          <w:tcPr>
            <w:tcW w:w="109" w:type="dxa"/>
            <w:tcBorders/>
            <w:vAlign w:val="center"/>
          </w:tcPr>
          <w:p>
            <w:pPr>
              <w:pStyle w:val="TableContents"/>
              <w:bidi w:val="0"/>
              <w:spacing w:before="0" w:after="0"/>
              <w:ind w:left="0" w:right="0" w:hanging="0"/>
              <w:jc w:val="left"/>
              <w:rPr/>
            </w:pPr>
            <w:r>
              <w:rPr/>
              <w:t>​</w:t>
            </w:r>
          </w:p>
        </w:tc>
        <w:tc>
          <w:tcPr>
            <w:tcW w:w="6363"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Inline XBRL Instance Document</w:t>
            </w:r>
          </w:p>
        </w:tc>
        <w:tc>
          <w:tcPr>
            <w:tcW w:w="109" w:type="dxa"/>
            <w:tcBorders/>
            <w:vAlign w:val="center"/>
          </w:tcPr>
          <w:p>
            <w:pPr>
              <w:pStyle w:val="TableContents"/>
              <w:bidi w:val="0"/>
              <w:spacing w:before="0" w:after="0"/>
              <w:ind w:left="0" w:right="0" w:hanging="0"/>
              <w:jc w:val="center"/>
              <w:rPr/>
            </w:pPr>
            <w:r>
              <w:rPr/>
              <w:t>​</w:t>
            </w:r>
          </w:p>
        </w:tc>
        <w:tc>
          <w:tcPr>
            <w:tcW w:w="36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58"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Filed herewith</w:t>
            </w:r>
          </w:p>
        </w:tc>
      </w:tr>
      <w:tr>
        <w:trPr/>
        <w:tc>
          <w:tcPr>
            <w:tcW w:w="64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36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6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58" w:type="dxa"/>
            <w:tcBorders/>
            <w:vAlign w:val="center"/>
          </w:tcPr>
          <w:p>
            <w:pPr>
              <w:pStyle w:val="TableContents"/>
              <w:bidi w:val="0"/>
              <w:spacing w:before="0" w:after="0"/>
              <w:ind w:left="0" w:right="0" w:hanging="0"/>
              <w:jc w:val="center"/>
              <w:rPr/>
            </w:pPr>
            <w:r>
              <w:rPr/>
              <w:t>​</w:t>
            </w:r>
          </w:p>
        </w:tc>
      </w:tr>
      <w:tr>
        <w:trPr/>
        <w:tc>
          <w:tcPr>
            <w:tcW w:w="642"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101.SCH</w:t>
            </w:r>
          </w:p>
        </w:tc>
        <w:tc>
          <w:tcPr>
            <w:tcW w:w="109" w:type="dxa"/>
            <w:tcBorders/>
            <w:vAlign w:val="center"/>
          </w:tcPr>
          <w:p>
            <w:pPr>
              <w:pStyle w:val="TableContents"/>
              <w:bidi w:val="0"/>
              <w:spacing w:before="0" w:after="0"/>
              <w:ind w:left="0" w:right="0" w:hanging="0"/>
              <w:jc w:val="left"/>
              <w:rPr/>
            </w:pPr>
            <w:r>
              <w:rPr/>
              <w:t>​</w:t>
            </w:r>
          </w:p>
        </w:tc>
        <w:tc>
          <w:tcPr>
            <w:tcW w:w="6363"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Inline XBRL Taxonomy Extension Schema Document</w:t>
            </w:r>
          </w:p>
        </w:tc>
        <w:tc>
          <w:tcPr>
            <w:tcW w:w="109" w:type="dxa"/>
            <w:tcBorders/>
            <w:vAlign w:val="center"/>
          </w:tcPr>
          <w:p>
            <w:pPr>
              <w:pStyle w:val="TableContents"/>
              <w:bidi w:val="0"/>
              <w:spacing w:before="0" w:after="0"/>
              <w:ind w:left="0" w:right="0" w:hanging="0"/>
              <w:jc w:val="center"/>
              <w:rPr/>
            </w:pPr>
            <w:r>
              <w:rPr/>
              <w:t>​</w:t>
            </w:r>
          </w:p>
        </w:tc>
        <w:tc>
          <w:tcPr>
            <w:tcW w:w="36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58"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Filed herewith</w:t>
            </w:r>
          </w:p>
        </w:tc>
      </w:tr>
      <w:tr>
        <w:trPr/>
        <w:tc>
          <w:tcPr>
            <w:tcW w:w="64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36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6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58" w:type="dxa"/>
            <w:tcBorders/>
            <w:vAlign w:val="center"/>
          </w:tcPr>
          <w:p>
            <w:pPr>
              <w:pStyle w:val="TableContents"/>
              <w:bidi w:val="0"/>
              <w:spacing w:before="0" w:after="0"/>
              <w:ind w:left="0" w:right="0" w:hanging="0"/>
              <w:jc w:val="center"/>
              <w:rPr/>
            </w:pPr>
            <w:r>
              <w:rPr/>
              <w:t>​</w:t>
            </w:r>
          </w:p>
        </w:tc>
      </w:tr>
      <w:tr>
        <w:trPr/>
        <w:tc>
          <w:tcPr>
            <w:tcW w:w="642"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101.CAL</w:t>
            </w:r>
          </w:p>
        </w:tc>
        <w:tc>
          <w:tcPr>
            <w:tcW w:w="109" w:type="dxa"/>
            <w:tcBorders/>
            <w:vAlign w:val="center"/>
          </w:tcPr>
          <w:p>
            <w:pPr>
              <w:pStyle w:val="TableContents"/>
              <w:bidi w:val="0"/>
              <w:spacing w:before="0" w:after="0"/>
              <w:ind w:left="0" w:right="0" w:hanging="0"/>
              <w:jc w:val="left"/>
              <w:rPr/>
            </w:pPr>
            <w:r>
              <w:rPr/>
              <w:t>​</w:t>
            </w:r>
          </w:p>
        </w:tc>
        <w:tc>
          <w:tcPr>
            <w:tcW w:w="6363"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Inline XBRL Taxonomy Extension Calculation Linkbase Document</w:t>
            </w:r>
          </w:p>
        </w:tc>
        <w:tc>
          <w:tcPr>
            <w:tcW w:w="109" w:type="dxa"/>
            <w:tcBorders/>
            <w:vAlign w:val="center"/>
          </w:tcPr>
          <w:p>
            <w:pPr>
              <w:pStyle w:val="TableContents"/>
              <w:bidi w:val="0"/>
              <w:spacing w:before="0" w:after="0"/>
              <w:ind w:left="0" w:right="0" w:hanging="0"/>
              <w:jc w:val="center"/>
              <w:rPr/>
            </w:pPr>
            <w:r>
              <w:rPr/>
              <w:t>​</w:t>
            </w:r>
          </w:p>
        </w:tc>
        <w:tc>
          <w:tcPr>
            <w:tcW w:w="36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58"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Filed herewith</w:t>
            </w:r>
          </w:p>
        </w:tc>
      </w:tr>
      <w:tr>
        <w:trPr/>
        <w:tc>
          <w:tcPr>
            <w:tcW w:w="64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36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6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58" w:type="dxa"/>
            <w:tcBorders/>
            <w:vAlign w:val="center"/>
          </w:tcPr>
          <w:p>
            <w:pPr>
              <w:pStyle w:val="TableContents"/>
              <w:bidi w:val="0"/>
              <w:spacing w:before="0" w:after="0"/>
              <w:ind w:left="0" w:right="0" w:hanging="0"/>
              <w:jc w:val="center"/>
              <w:rPr/>
            </w:pPr>
            <w:r>
              <w:rPr/>
              <w:t>​</w:t>
            </w:r>
          </w:p>
        </w:tc>
      </w:tr>
      <w:tr>
        <w:trPr/>
        <w:tc>
          <w:tcPr>
            <w:tcW w:w="642"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101.DEF</w:t>
            </w:r>
          </w:p>
        </w:tc>
        <w:tc>
          <w:tcPr>
            <w:tcW w:w="109" w:type="dxa"/>
            <w:tcBorders/>
            <w:vAlign w:val="center"/>
          </w:tcPr>
          <w:p>
            <w:pPr>
              <w:pStyle w:val="TableContents"/>
              <w:bidi w:val="0"/>
              <w:spacing w:before="0" w:after="0"/>
              <w:ind w:left="0" w:right="0" w:hanging="0"/>
              <w:jc w:val="left"/>
              <w:rPr/>
            </w:pPr>
            <w:r>
              <w:rPr/>
              <w:t>​</w:t>
            </w:r>
          </w:p>
        </w:tc>
        <w:tc>
          <w:tcPr>
            <w:tcW w:w="6363"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Inline XBRL Taxonomy Extension Definition Linkbase Document</w:t>
            </w:r>
          </w:p>
        </w:tc>
        <w:tc>
          <w:tcPr>
            <w:tcW w:w="109" w:type="dxa"/>
            <w:tcBorders/>
            <w:vAlign w:val="center"/>
          </w:tcPr>
          <w:p>
            <w:pPr>
              <w:pStyle w:val="TableContents"/>
              <w:bidi w:val="0"/>
              <w:spacing w:before="0" w:after="0"/>
              <w:ind w:left="0" w:right="0" w:hanging="0"/>
              <w:jc w:val="center"/>
              <w:rPr/>
            </w:pPr>
            <w:r>
              <w:rPr/>
              <w:t>​</w:t>
            </w:r>
          </w:p>
        </w:tc>
        <w:tc>
          <w:tcPr>
            <w:tcW w:w="36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58"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Filed herewith</w:t>
            </w:r>
          </w:p>
        </w:tc>
      </w:tr>
      <w:tr>
        <w:trPr/>
        <w:tc>
          <w:tcPr>
            <w:tcW w:w="64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36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6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58" w:type="dxa"/>
            <w:tcBorders/>
            <w:vAlign w:val="center"/>
          </w:tcPr>
          <w:p>
            <w:pPr>
              <w:pStyle w:val="TableContents"/>
              <w:bidi w:val="0"/>
              <w:spacing w:before="0" w:after="0"/>
              <w:ind w:left="0" w:right="0" w:hanging="0"/>
              <w:jc w:val="center"/>
              <w:rPr/>
            </w:pPr>
            <w:r>
              <w:rPr/>
              <w:t>​</w:t>
            </w:r>
          </w:p>
        </w:tc>
      </w:tr>
      <w:tr>
        <w:trPr/>
        <w:tc>
          <w:tcPr>
            <w:tcW w:w="642"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101.LAB</w:t>
            </w:r>
          </w:p>
        </w:tc>
        <w:tc>
          <w:tcPr>
            <w:tcW w:w="109" w:type="dxa"/>
            <w:tcBorders/>
            <w:vAlign w:val="center"/>
          </w:tcPr>
          <w:p>
            <w:pPr>
              <w:pStyle w:val="TableContents"/>
              <w:bidi w:val="0"/>
              <w:spacing w:before="0" w:after="0"/>
              <w:ind w:left="0" w:right="0" w:hanging="0"/>
              <w:jc w:val="left"/>
              <w:rPr/>
            </w:pPr>
            <w:r>
              <w:rPr/>
              <w:t>​</w:t>
            </w:r>
          </w:p>
        </w:tc>
        <w:tc>
          <w:tcPr>
            <w:tcW w:w="6363"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Inline XBRL Taxonomy Extension Label Linkbase Document</w:t>
            </w:r>
          </w:p>
        </w:tc>
        <w:tc>
          <w:tcPr>
            <w:tcW w:w="109" w:type="dxa"/>
            <w:tcBorders/>
            <w:vAlign w:val="center"/>
          </w:tcPr>
          <w:p>
            <w:pPr>
              <w:pStyle w:val="TableContents"/>
              <w:bidi w:val="0"/>
              <w:spacing w:before="0" w:after="0"/>
              <w:ind w:left="0" w:right="0" w:hanging="0"/>
              <w:jc w:val="center"/>
              <w:rPr/>
            </w:pPr>
            <w:r>
              <w:rPr/>
              <w:t>​</w:t>
            </w:r>
          </w:p>
        </w:tc>
        <w:tc>
          <w:tcPr>
            <w:tcW w:w="36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58"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Filed herewith</w:t>
            </w:r>
          </w:p>
        </w:tc>
      </w:tr>
      <w:tr>
        <w:trPr/>
        <w:tc>
          <w:tcPr>
            <w:tcW w:w="64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36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6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58" w:type="dxa"/>
            <w:tcBorders/>
            <w:vAlign w:val="center"/>
          </w:tcPr>
          <w:p>
            <w:pPr>
              <w:pStyle w:val="TableContents"/>
              <w:bidi w:val="0"/>
              <w:spacing w:before="0" w:after="0"/>
              <w:ind w:left="0" w:right="0" w:hanging="0"/>
              <w:jc w:val="center"/>
              <w:rPr/>
            </w:pPr>
            <w:r>
              <w:rPr/>
              <w:t>​</w:t>
            </w:r>
          </w:p>
        </w:tc>
      </w:tr>
      <w:tr>
        <w:trPr/>
        <w:tc>
          <w:tcPr>
            <w:tcW w:w="642"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101.PRE</w:t>
            </w:r>
          </w:p>
        </w:tc>
        <w:tc>
          <w:tcPr>
            <w:tcW w:w="109" w:type="dxa"/>
            <w:tcBorders/>
            <w:vAlign w:val="center"/>
          </w:tcPr>
          <w:p>
            <w:pPr>
              <w:pStyle w:val="TableContents"/>
              <w:bidi w:val="0"/>
              <w:spacing w:before="0" w:after="0"/>
              <w:ind w:left="0" w:right="0" w:hanging="0"/>
              <w:jc w:val="left"/>
              <w:rPr/>
            </w:pPr>
            <w:r>
              <w:rPr/>
              <w:t>​</w:t>
            </w:r>
          </w:p>
        </w:tc>
        <w:tc>
          <w:tcPr>
            <w:tcW w:w="6363"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Inline XBRL Taxonomy Extension Presentation Linkbase Document</w:t>
            </w:r>
          </w:p>
        </w:tc>
        <w:tc>
          <w:tcPr>
            <w:tcW w:w="109" w:type="dxa"/>
            <w:tcBorders/>
            <w:vAlign w:val="center"/>
          </w:tcPr>
          <w:p>
            <w:pPr>
              <w:pStyle w:val="TableContents"/>
              <w:bidi w:val="0"/>
              <w:spacing w:before="0" w:after="0"/>
              <w:ind w:left="0" w:right="0" w:hanging="0"/>
              <w:jc w:val="center"/>
              <w:rPr/>
            </w:pPr>
            <w:r>
              <w:rPr/>
              <w:t>​</w:t>
            </w:r>
          </w:p>
        </w:tc>
        <w:tc>
          <w:tcPr>
            <w:tcW w:w="36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58"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Filed herewith</w:t>
            </w:r>
          </w:p>
        </w:tc>
      </w:tr>
      <w:tr>
        <w:trPr/>
        <w:tc>
          <w:tcPr>
            <w:tcW w:w="64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36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6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58" w:type="dxa"/>
            <w:tcBorders/>
            <w:vAlign w:val="center"/>
          </w:tcPr>
          <w:p>
            <w:pPr>
              <w:pStyle w:val="TableContents"/>
              <w:bidi w:val="0"/>
              <w:spacing w:before="0" w:after="0"/>
              <w:ind w:left="0" w:right="0" w:hanging="0"/>
              <w:jc w:val="center"/>
              <w:rPr/>
            </w:pPr>
            <w:r>
              <w:rPr/>
              <w:t>​</w:t>
            </w:r>
          </w:p>
        </w:tc>
      </w:tr>
      <w:tr>
        <w:trPr/>
        <w:tc>
          <w:tcPr>
            <w:tcW w:w="642"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104</w:t>
            </w:r>
          </w:p>
        </w:tc>
        <w:tc>
          <w:tcPr>
            <w:tcW w:w="109" w:type="dxa"/>
            <w:tcBorders/>
            <w:vAlign w:val="center"/>
          </w:tcPr>
          <w:p>
            <w:pPr>
              <w:pStyle w:val="TableContents"/>
              <w:bidi w:val="0"/>
              <w:spacing w:before="0" w:after="0"/>
              <w:ind w:left="0" w:right="0" w:hanging="0"/>
              <w:jc w:val="left"/>
              <w:rPr/>
            </w:pPr>
            <w:r>
              <w:rPr/>
              <w:t>​</w:t>
            </w:r>
          </w:p>
        </w:tc>
        <w:tc>
          <w:tcPr>
            <w:tcW w:w="6363"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Cover Page Interactive Data File (formatted as Inline XBRL and contained in Exhibit 101)</w:t>
            </w:r>
          </w:p>
        </w:tc>
        <w:tc>
          <w:tcPr>
            <w:tcW w:w="109" w:type="dxa"/>
            <w:tcBorders/>
            <w:vAlign w:val="center"/>
          </w:tcPr>
          <w:p>
            <w:pPr>
              <w:pStyle w:val="TableContents"/>
              <w:bidi w:val="0"/>
              <w:spacing w:before="0" w:after="0"/>
              <w:ind w:left="0" w:right="0" w:hanging="0"/>
              <w:jc w:val="center"/>
              <w:rPr/>
            </w:pPr>
            <w:r>
              <w:rPr/>
              <w:t>​</w:t>
            </w:r>
          </w:p>
        </w:tc>
        <w:tc>
          <w:tcPr>
            <w:tcW w:w="36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58"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Filed herewith</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accordance with Item 601(b)(32)(ii) of Regulation S-K and SEC Release No. 34-47986, the certifications furnished in Exhibits 32.1 and 32.2 herewith are deemed to accompany this Form 10-Q and will not be deemed filed for purposes of Section 18 of the Exchange Act. Such certifications will not be deemed to be incorporated by reference into any filings under the Securities Act or the Exchange Act.</w:t>
            </w:r>
          </w:p>
        </w:tc>
      </w:tr>
    </w:tbl>
    <w:p>
      <w:pPr>
        <w:pStyle w:val="TextBody"/>
        <w:pBdr/>
        <w:bidi w:val="0"/>
        <w:spacing w:before="0" w:after="0"/>
        <w:ind w:left="0" w:right="0" w:hanging="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427" w:name="SIGNATURES_109361"/>
      <w:bookmarkStart w:id="1428" w:name="_9c1f2107_9a2d_41d9_afd1_962952f71548"/>
      <w:bookmarkEnd w:id="1427"/>
      <w:bookmarkEnd w:id="1428"/>
      <w:r>
        <w:rPr>
          <w:rFonts w:ascii="Times New Roman;Times;serif" w:hAnsi="Times New Roman;Times;serif"/>
          <w:b/>
          <w:sz w:val="20"/>
        </w:rPr>
        <w:t>SIGNATURES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August 13, 2026</w:t>
      </w:r>
    </w:p>
    <w:p>
      <w:pPr>
        <w:pStyle w:val="TextBody"/>
        <w:bidi w:val="0"/>
        <w:spacing w:before="0" w:after="240"/>
        <w:ind w:left="0" w:right="0" w:hanging="0"/>
        <w:jc w:val="both"/>
        <w:rPr/>
      </w:pPr>
      <w:r>
        <w:rPr/>
        <w:t>​</w:t>
      </w:r>
    </w:p>
    <w:tbl>
      <w:tblPr>
        <w:tblW w:w="5827" w:type="dxa"/>
        <w:jc w:val="left"/>
        <w:tblInd w:w="0" w:type="dxa"/>
        <w:tblLayout w:type="fixed"/>
        <w:tblCellMar>
          <w:top w:w="0" w:type="dxa"/>
          <w:left w:w="0" w:type="dxa"/>
          <w:bottom w:w="0" w:type="dxa"/>
          <w:right w:w="0" w:type="dxa"/>
        </w:tblCellMar>
      </w:tblPr>
      <w:tblGrid>
        <w:gridCol w:w="124"/>
        <w:gridCol w:w="346"/>
        <w:gridCol w:w="406"/>
        <w:gridCol w:w="4951"/>
      </w:tblGrid>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35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Cheetah Net Supply Chain Service Inc.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95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9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 Huan Liu</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95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Huan Liu</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and Interim Chief Financial Officer</w:t>
            </w:r>
          </w:p>
        </w:tc>
      </w:tr>
    </w:tbl>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0"/>
        <w:ind w:left="0" w:right="0" w:hanging="0"/>
        <w:jc w:val="left"/>
        <w:rPr/>
      </w:pPr>
      <w:bookmarkStart w:id="1429" w:name="ctnt-20260630xex10d8.htm"/>
      <w:bookmarkStart w:id="1430" w:name="ksctnt20260630xex10d8"/>
      <w:bookmarkEnd w:id="1429"/>
      <w:bookmarkEnd w:id="1430"/>
      <w:r>
        <w:rPr/>
        <w:t>​</w:t>
      </w:r>
      <w:r>
        <w:br w:type="page"/>
      </w:r>
    </w:p>
    <w:p>
      <w:pPr>
        <w:pStyle w:val="TextBody"/>
        <w:bidi w:val="0"/>
        <w:spacing w:before="0" w:after="240"/>
        <w:ind w:left="0" w:right="0" w:hanging="0"/>
        <w:jc w:val="right"/>
        <w:rPr>
          <w:rFonts w:ascii="Times New Roman;Times;serif" w:hAnsi="Times New Roman;Times;serif"/>
          <w:b/>
          <w:sz w:val="22"/>
        </w:rPr>
      </w:pPr>
      <w:r>
        <w:rPr>
          <w:rFonts w:ascii="Times New Roman;Times;serif" w:hAnsi="Times New Roman;Times;serif"/>
          <w:b/>
          <w:sz w:val="22"/>
        </w:rPr>
        <w:t>Exhibit 10.8</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CONDITIONAL TERMINATION AGREEMENT</w:t>
      </w:r>
    </w:p>
    <w:p>
      <w:pPr>
        <w:pStyle w:val="TextBody"/>
        <w:bidi w:val="0"/>
        <w:spacing w:before="0" w:after="120"/>
        <w:ind w:left="0" w:right="0" w:hanging="0"/>
        <w:jc w:val="center"/>
        <w:rPr>
          <w:rFonts w:ascii="Times New Roman;Times;serif" w:hAnsi="Times New Roman;Times;serif"/>
          <w:b/>
          <w:sz w:val="28"/>
        </w:rPr>
      </w:pPr>
      <w:r>
        <w:rPr>
          <w:rFonts w:ascii="Times New Roman;Times;serif" w:hAnsi="Times New Roman;Times;serif"/>
          <w:b/>
          <w:sz w:val="28"/>
        </w:rPr>
        <w:t>OF PARTNERSHIP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2"/>
        </w:rPr>
        <w:t>Agreement No.:  </w:t>
      </w:r>
      <w:r>
        <w:rPr>
          <w:rFonts w:ascii="Times New Roman;Times;serif" w:hAnsi="Times New Roman;Times;serif"/>
          <w:sz w:val="20"/>
        </w:rPr>
        <w:t>                                  </w:t>
      </w:r>
    </w:p>
    <w:p>
      <w:pPr>
        <w:pStyle w:val="TextBody"/>
        <w:bidi w:val="0"/>
        <w:spacing w:before="0" w:after="240"/>
        <w:ind w:left="0" w:right="0" w:hanging="0"/>
        <w:jc w:val="left"/>
        <w:rPr>
          <w:rFonts w:ascii="Times New Roman;Times;serif" w:hAnsi="Times New Roman;Times;serif"/>
          <w:b/>
          <w:sz w:val="22"/>
        </w:rPr>
      </w:pPr>
      <w:r>
        <w:rPr>
          <w:rFonts w:ascii="Times New Roman;Times;serif" w:hAnsi="Times New Roman;Times;serif"/>
          <w:b/>
          <w:sz w:val="22"/>
        </w:rPr>
        <w:t>Party A (General Partner): Shanghai Kesheng Investment Management Co., Ltd.</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Unified Social Credit Code: [*]</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Registered Address: [*]</w:t>
      </w:r>
    </w:p>
    <w:p>
      <w:pPr>
        <w:pStyle w:val="TextBody"/>
        <w:bidi w:val="0"/>
        <w:spacing w:before="0" w:after="240"/>
        <w:ind w:left="0" w:right="0" w:hanging="0"/>
        <w:jc w:val="left"/>
        <w:rPr>
          <w:rFonts w:ascii="Times New Roman;Times;serif" w:hAnsi="Times New Roman;Times;serif"/>
          <w:b/>
          <w:sz w:val="22"/>
        </w:rPr>
      </w:pPr>
      <w:r>
        <w:rPr>
          <w:rFonts w:ascii="Times New Roman;Times;serif" w:hAnsi="Times New Roman;Times;serif"/>
          <w:b/>
          <w:sz w:val="22"/>
        </w:rPr>
        <w:t>Party B (Limited Partner): Naiside (Shenzhen) International Trading Co., Ltd.</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Unified Social Credit Code: [*]</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Registered Address: [*]</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ARTICLE 1</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BACKGROUND OF THE ORIGINAL AGREEMENT AND BASIS FOR TERMINATION</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1. Party A and Party B entered into the Partnership Agreement of Shanghai Kesheng Investment Management Co., Ltd. (the “Original Agreement”) on January 6, 2026, pursuant to which the Parties agreed to establish a limited partnership for the purpose of conducting equity investment-related business.</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2. The Parties hereby jointly acknowledge and confirm that the Original Agreement contains fundamental defects, including, without limitation, that the name of the partnership does not comply with the mandatory requirements of the Partnership Enterprise Law of the People’s Republic of China, and that its internal governance structure and accounting system are incapable of satisfying the regulatory requirements applicable to private investment funds or the standards for independent project management and accounting. In addition, the overall fundraising progress of the partnership has fallen substantially behind the originally contemplated schedule. Accordingly, continued performance of the Original Agreement would involve significant performance risks.</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3. Party B has fully paid its agreed capital contribution in the amount of RMB 280,000,000 (Renminbi Two Hundred Eighty Million Only) to Party A on January 29, 2026.</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ARTICLE 2</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IMMEDIATE TERMINATION OF THE ORIGINAL AGREEMENT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1. Upon friendly consultation and mutual agreement, the Parties hereby agree that, effective as of the execution date of this Agreement, the Original Agreement shall be immediately, unconditionally and formally terminated.</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2. Upon termination of the Original Agreement, all partnership rights, obligations, capital contribution obligations, profit distribution arrangements, and loss-sharing arrangements arising therefrom shall automatically terminate in their entirety. Neither Party shall thereafter enjoy any rights under the Original Agreement or remain subject to any unperformed obligations thereunder.</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3. This Agreement constitutes the Parties’ final and complete agreement regarding the termination of the Original Agreement. The Original Agreement is hereby fully terminated and shall not be reinstated or resumed.</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ARTICLE 3</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BASIC PRINCIPLES FOR THE RETURN OF CAPITAL CONTRIBUTION</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Page 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1. The Parties acknowledge and agree that, following the termination of the Original Agreement, Party A no longer has any lawful basis to retain Party B’s capital contribution. Party A therefore undertakes to return to Party B, as soon as practicable, the full amount of Party B’s capital contribution of RMB 280,000,000 (Renminbi Two Hundred Eighty Million Only).</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ARTICLE 4</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LIABILITY FOR BREACH AND MUTUAL RELEASE</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1. The Parties acknowledge and agree that the failure to perform the Original Agreement resulted from objective regulatory compliance deficiencies and delays in the fundraising process, rather than from any unilateral breach by either Party. Accordingly, neither Party shall pursue or assert any claim against the other for any breach of the Original Agreement occurring prior to its termination.</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2. Except for the rights and obligations expressly set forth in this Agreement, the Parties confirm that there are no outstanding disputes or unresolved matters between them.</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ARTICLE 5</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CONFIDENTIALITY</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1. The Parties shall keep strictly confidential all information relating to this Agreement, the performance of the Original Agreement, capital contributions and fund transfers, fundraising progress, and all other cooperation-related information. Neither Party shall disclose such information to any third party without the prior written consent of the other Party, except where disclosure is required by applicable laws or regulations or by competent judicial or governmental authorities.</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2. The confidentiality obligations set forth herein shall survive the suspension, termination, expiration, or rescission of this Agreement and shall remain in full force and effect indefinitely.</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ARTICLE 6</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DISPUTE RESOLUTION</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1. Any dispute arising out of or relating to this Agreement shall first be resolved through friendly consultation between the Parties. If such consultation fails, either Party shall have the right to submit the dispute to the South China Sub-Commission of the China International Economic and Trade Arbitration Commission (CIETAC) for arbitration in Shenzhen, China. The arbitral award shall be final and binding upon both Parties.</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ARTICLE 7</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MISCELLANEOUS</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1. This Agreement constitutes the final agreement between the Parties regarding the termination of the Original Agreement and supersedes all prior oral and written communications, negotiations, understandings, and agreements relating thereto.</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2. This Agreement shall become effective upon execution by the legal representative or duly authorized representative of each Party and affixing of each Party’s official corporate seal.</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3. This Agreement is executed in four (4) original counterparts, with two (2) originals held by each Party, each of which shall have equal legal effect.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4. Any matters not expressly provided for herein may be resolved by the Parties through further consultation and documented in a written supplemental agreement, which shall have the same legal effect as this Agreement.</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Page 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i/>
          <w:sz w:val="22"/>
        </w:rPr>
      </w:pPr>
      <w:r>
        <w:rPr>
          <w:rFonts w:ascii="Times New Roman;Times;serif" w:hAnsi="Times New Roman;Times;serif"/>
          <w:i/>
          <w:sz w:val="22"/>
        </w:rPr>
        <w:t>(The remainder of this page is intentionally left blank.)</w:t>
      </w:r>
    </w:p>
    <w:p>
      <w:pPr>
        <w:pStyle w:val="TextBody"/>
        <w:bidi w:val="0"/>
        <w:spacing w:before="0" w:after="120"/>
        <w:ind w:left="0" w:right="0" w:hanging="0"/>
        <w:jc w:val="center"/>
        <w:rPr/>
      </w:pPr>
      <w:r>
        <w:rPr/>
        <w:t>​</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Page 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SIGNATURE PAGE</w:t>
      </w:r>
    </w:p>
    <w:p>
      <w:pPr>
        <w:pStyle w:val="TextBody"/>
        <w:bidi w:val="0"/>
        <w:spacing w:before="0" w:after="240"/>
        <w:ind w:left="0" w:right="0" w:hanging="0"/>
        <w:jc w:val="center"/>
        <w:rPr>
          <w:rFonts w:ascii="Times New Roman;Times;serif" w:hAnsi="Times New Roman;Times;serif"/>
          <w:i/>
          <w:sz w:val="22"/>
        </w:rPr>
      </w:pPr>
      <w:r>
        <w:rPr>
          <w:rFonts w:ascii="Times New Roman;Times;serif" w:hAnsi="Times New Roman;Times;serif"/>
          <w:i/>
          <w:sz w:val="22"/>
        </w:rPr>
        <w:t>(This page has no substantive provisions and is solely the signature page.)</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Party A (Official Seal): Shanghai Kesheng Investment Management Co., Ltd.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Legal Representative / Authorized Representative (Signature):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2"/>
          <w:u w:val="single"/>
        </w:rPr>
        <w:t>/s/</w:t>
      </w:r>
      <w:r>
        <w:rPr>
          <w:rFonts w:ascii="Times New Roman;Times;serif" w:hAnsi="Times New Roman;Times;serif"/>
          <w:sz w:val="20"/>
          <w:u w:val="single"/>
        </w:rPr>
        <w:t xml:space="preserve"> </w:t>
      </w:r>
      <w:r>
        <w:rPr>
          <w:rFonts w:ascii="Times New Roman;Times;serif" w:hAnsi="Times New Roman;Times;serif"/>
          <w:sz w:val="22"/>
          <w:u w:val="single"/>
        </w:rPr>
        <w:t>Shanghai Kesheng Investment Management Co., Ltd.</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Date: June 30, 2026</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Party B (Official Seal): Naiside (Shenzhen) International Trading Co., Ltd.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Legal Representative / Authorized Representative (Signature):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2"/>
          <w:u w:val="single"/>
        </w:rPr>
        <w:t>/s/</w:t>
      </w:r>
      <w:r>
        <w:rPr>
          <w:rFonts w:ascii="Times New Roman;Times;serif" w:hAnsi="Times New Roman;Times;serif"/>
          <w:sz w:val="20"/>
          <w:u w:val="single"/>
        </w:rPr>
        <w:t xml:space="preserve"> </w:t>
      </w:r>
      <w:r>
        <w:rPr>
          <w:rFonts w:ascii="Times New Roman;Times;serif" w:hAnsi="Times New Roman;Times;serif"/>
          <w:sz w:val="22"/>
          <w:u w:val="single"/>
        </w:rPr>
        <w:t>Naiside (Shenzhen) International Trading Co., Ltd.</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Date: June 30,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Page 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431" w:name="ctnt-20260630xex10d9.htm"/>
      <w:bookmarkStart w:id="1432" w:name="ksctnt20260630xex10d9"/>
      <w:bookmarkEnd w:id="1431"/>
      <w:bookmarkEnd w:id="1432"/>
      <w:r>
        <w:rPr>
          <w:rFonts w:ascii="Times New Roman;Times;serif" w:hAnsi="Times New Roman;Times;serif"/>
          <w:b/>
          <w:sz w:val="20"/>
        </w:rPr>
        <w:t>Exhibit 10.9</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FIRST AMENDMENT TO THE AGREEMENT FOR CONDITIONAL TERMINATION OF THE PARTNERSHIP AGREEMENT</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(Repayment Arrangements for Capital Contribution)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First Amendment to the Agreement for Conditional Termination of the Partnership Agreement (this “Amendment”) is entered into as of August 10, 2026 (the “Effective Date”), by and between the following parties:</w:t>
      </w:r>
    </w:p>
    <w:p>
      <w:pPr>
        <w:pStyle w:val="TextBody"/>
        <w:bidi w:val="0"/>
        <w:spacing w:before="0" w:after="20"/>
        <w:ind w:left="0" w:right="0" w:hanging="0"/>
        <w:jc w:val="both"/>
        <w:rPr>
          <w:rFonts w:ascii="Times New Roman;Times;serif" w:hAnsi="Times New Roman;Times;serif"/>
          <w:sz w:val="20"/>
        </w:rPr>
      </w:pPr>
      <w:r>
        <w:rPr>
          <w:rFonts w:ascii="Times New Roman;Times;serif" w:hAnsi="Times New Roman;Times;serif"/>
          <w:b/>
          <w:sz w:val="20"/>
        </w:rPr>
        <w:t xml:space="preserve">Party A (General Partner): </w:t>
      </w:r>
      <w:r>
        <w:rPr>
          <w:rFonts w:ascii="Times New Roman;Times;serif" w:hAnsi="Times New Roman;Times;serif"/>
          <w:sz w:val="20"/>
        </w:rPr>
        <w:t>Shanghai Kesheng Investment Management Co., Ltd.</w:t>
      </w:r>
    </w:p>
    <w:p>
      <w:pPr>
        <w:pStyle w:val="TextBody"/>
        <w:bidi w:val="0"/>
        <w:spacing w:before="0" w:after="20"/>
        <w:ind w:left="0" w:right="0" w:hanging="0"/>
        <w:jc w:val="both"/>
        <w:rPr>
          <w:rFonts w:ascii="Times New Roman;Times;serif" w:hAnsi="Times New Roman;Times;serif"/>
          <w:b/>
          <w:sz w:val="20"/>
        </w:rPr>
      </w:pPr>
      <w:r>
        <w:rPr>
          <w:rFonts w:ascii="Times New Roman;Times;serif" w:hAnsi="Times New Roman;Times;serif"/>
          <w:b/>
          <w:sz w:val="20"/>
        </w:rPr>
        <w:t>Unified Social Credit Code:</w:t>
      </w:r>
    </w:p>
    <w:p>
      <w:pPr>
        <w:pStyle w:val="TextBody"/>
        <w:bidi w:val="0"/>
        <w:spacing w:before="0" w:after="20"/>
        <w:ind w:left="0" w:right="0" w:hanging="0"/>
        <w:jc w:val="both"/>
        <w:rPr>
          <w:rFonts w:ascii="Times New Roman;Times;serif" w:hAnsi="Times New Roman;Times;serif"/>
          <w:b/>
          <w:sz w:val="20"/>
        </w:rPr>
      </w:pPr>
      <w:r>
        <w:rPr>
          <w:rFonts w:ascii="Times New Roman;Times;serif" w:hAnsi="Times New Roman;Times;serif"/>
          <w:b/>
          <w:sz w:val="20"/>
        </w:rPr>
        <w:t>Address:</w:t>
      </w:r>
    </w:p>
    <w:p>
      <w:pPr>
        <w:pStyle w:val="TextBody"/>
        <w:bidi w:val="0"/>
        <w:spacing w:before="0" w:after="20"/>
        <w:ind w:left="0" w:right="0" w:hanging="0"/>
        <w:jc w:val="both"/>
        <w:rPr>
          <w:rFonts w:ascii="Times New Roman;Times;serif" w:hAnsi="Times New Roman;Times;serif"/>
          <w:sz w:val="20"/>
        </w:rPr>
      </w:pPr>
      <w:r>
        <w:rPr>
          <w:rFonts w:ascii="Times New Roman;Times;serif" w:hAnsi="Times New Roman;Times;serif"/>
          <w:b/>
          <w:sz w:val="20"/>
        </w:rPr>
        <w:t xml:space="preserve">Party B (Limited Partner): </w:t>
      </w:r>
      <w:r>
        <w:rPr>
          <w:rFonts w:ascii="Times New Roman;Times;serif" w:hAnsi="Times New Roman;Times;serif"/>
          <w:sz w:val="20"/>
        </w:rPr>
        <w:t>Naiside (Shenzhen) International Trading Co., Ltd.</w:t>
      </w:r>
    </w:p>
    <w:p>
      <w:pPr>
        <w:pStyle w:val="TextBody"/>
        <w:bidi w:val="0"/>
        <w:spacing w:before="0" w:after="20"/>
        <w:ind w:left="0" w:right="0" w:hanging="0"/>
        <w:jc w:val="both"/>
        <w:rPr>
          <w:rFonts w:ascii="Times New Roman;Times;serif" w:hAnsi="Times New Roman;Times;serif"/>
          <w:b/>
          <w:sz w:val="20"/>
        </w:rPr>
      </w:pPr>
      <w:r>
        <w:rPr>
          <w:rFonts w:ascii="Times New Roman;Times;serif" w:hAnsi="Times New Roman;Times;serif"/>
          <w:b/>
          <w:sz w:val="20"/>
        </w:rPr>
        <w:t>Unified Social Credit Code: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Address: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RECITALS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 Party A and Party B entered into an Agreement for Conditional Termination of the Partnership Agreement (the “Original Agreement”), pursuant to which the parties agreed to terminate the Shanghai Kesheng Investment Management Co., Ltd. Partnership Agreement dated January 6, 2026 and Party A agreed to return to Party B the capital contribution previously paid by Party B in the amount of RMB 280,000,000 (Renminbi Two Hundred Eighty Million).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 The parties now wish to further clarify and amend the repayment arrangements, overdue interest, default liability and related matters under the Original Agreement.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 Accordingly, the parties agree to amend the Original Agreement on the terms set forth below.</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NOW, THEREFORE, in consideration of the mutual covenants and agreements set forth herein, the parties agree as follows: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 Amendment and Restatement of Article 3 of the Original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Article 3 of the Original Agreement is hereby deleted in its entirety and replaced with the following: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Article 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Repayment of Capital Contribution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3.1 The parties confirm that Party B paid to Party A on January 29, 2026 a capital contribution in the aggregate amount of RMB 280,000,000 (Renminbi Two Hundred Eighty Million).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3.2 Party A shall, on or before December 31, 2026 (inclusive), repay to Party B in one lump sum the full principal amount of RMB 280,000,000, without deduction of any handling fee, service fee, management fee or any other charge or expense.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3.3 Party A shall make payment to the following bank account designated by Party B:</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Account Name: Naiside (Shenzhen) International Trading Co., Ltd.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Bank:</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 Number:</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Page 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3.4 Party A’s repayment obligation shall be deemed fully discharged only upon receipt of the full amount of the repayment in immediately available funds in Party B’s designated account.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3.5 If Party A fails to repay the full amount of the capital contribution by 11:59 p.m. on December 31, 2026, such failure shall constitute an overdue repayment.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3.6 In the event of an overdue repayment, Party A shall pay Party B Overdue Interest for the use of the outstanding funds at the rate of five percent (5%) per annum, calculated on a simple interest basis according to the actual number of overdue days.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3.7 Such interest shall accrue commencing on December 31, 2026, and shall continue until the date on which Party A has paid in full the outstanding principal together with all accrued interest to the bank account designated by Party B.</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3.8 The overdue interest shall be calculated in accordance with the following formula: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Overdue Interest = Outstanding Principal × 5% × Actual Number of Overdue Days ÷ 365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3.9 In addition to the Overdue Interest payable pursuant to this Article 3, Party A shall reimburse Party B for all costs and expenses reasonably incurred by Party B in enforcing its rights, including, without limitation, litigation fees, arbitration fees, attorneys’ fees, preservation fees, and reasonable travel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3.10 Party A’s failure to repay the outstanding principal when due shall constitute a material breach of this Amendment and the Original Agreement. Upon such breach, Party B shall be entitled to pursue all available legal remedies to recover the outstanding principal, accrued Overdue Interest, and all related enforcement costs.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 Amendment to Article 4.2 of the Original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Article 4.2 of the Original Agreement is hereby deleted in its entirety and replaced with the following:</w:t>
      </w:r>
    </w:p>
    <w:p>
      <w:pPr>
        <w:pStyle w:val="TextBody"/>
        <w:bidi w:val="0"/>
        <w:spacing w:before="0" w:after="240"/>
        <w:ind w:left="0" w:right="0" w:hanging="0"/>
        <w:jc w:val="left"/>
        <w:rPr/>
      </w:pPr>
      <w:r>
        <w:rPr/>
        <w:t>“</w:t>
      </w:r>
      <w:r>
        <w:rPr>
          <w:rFonts w:ascii="Times New Roman;Times;serif" w:hAnsi="Times New Roman;Times;serif"/>
          <w:sz w:val="20"/>
        </w:rPr>
        <w:t>Except for the rights and obligations that remain effective or are yet to be performed under the Original Agreement and this Amendment, the Parties acknowledge that there are no other outstanding disputes arising out of or in connection with the performance or termination of the Shanghai Kesheng Investment Management Co., Ltd. Partnership Agreement.”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3. Confidentiality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confidentiality obligations set forth in Article 5 of the Original Agreement shall remain in full force and effect and shall apply to this Amendment, including, without limitation, the repayment arrangements, overdue interest provisions, default liability, and all other matters contemplated hereby.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4. Dispute Resolution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Any dispute arising out of or in connection with this Amendment shall be resolved in accordance with the dispute resolution provisions set forth in Article 6 of the Original Agreement.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5. Miscellaneous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5.1 This Amendment constitutes the final supplemental agreement between the Parties with respect to the matters addressed herein and supersedes all prior oral and written communications, negotiations, understandings, and agreements between the Parties relating to the subject matter of this Amendment.</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Page 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5.2 This Amendment shall become effective upon execution by the legal representatives or duly authorized representatives of both Parties and the affixing of their respective company seals.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5.3 This Amendment is executed in four (4) originals, with each Party retaining two (2) originals, each of which shall have equal legal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5.4 Any matter not expressly provided for in this Amendment may be resolved through further consultation between the Parties. Any supplemental agreement executed in writing by the Parties shall have the same legal force and effect as this Amendment.</w:t>
      </w:r>
    </w:p>
    <w:p>
      <w:pPr>
        <w:pStyle w:val="TextBody"/>
        <w:bidi w:val="0"/>
        <w:spacing w:before="0" w:after="80"/>
        <w:ind w:left="0" w:right="0" w:hanging="0"/>
        <w:jc w:val="center"/>
        <w:rPr>
          <w:rFonts w:ascii="Times New Roman;Times;serif" w:hAnsi="Times New Roman;Times;serif"/>
          <w:i/>
          <w:sz w:val="20"/>
        </w:rPr>
      </w:pPr>
      <w:r>
        <w:rPr>
          <w:rFonts w:ascii="Times New Roman;Times;serif" w:hAnsi="Times New Roman;Times;serif"/>
          <w:i/>
          <w:sz w:val="20"/>
        </w:rPr>
        <w:t>(Signature Page Follows)</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Page 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SIGNATURE PAGE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WITNESS WHEREOF, the parties have caused this Amendment to be duly executed as of the Effective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PARTY A (Company Seal): </w:t>
      </w:r>
      <w:r>
        <w:rPr>
          <w:rFonts w:ascii="Times New Roman;Times;serif" w:hAnsi="Times New Roman;Times;serif"/>
          <w:sz w:val="20"/>
        </w:rPr>
        <w:t>Shanghai Kesheng Investment Management Co., Ltd.</w:t>
      </w:r>
    </w:p>
    <w:tbl>
      <w:tblPr>
        <w:tblW w:w="6231" w:type="dxa"/>
        <w:jc w:val="left"/>
        <w:tblInd w:w="0" w:type="dxa"/>
        <w:tblLayout w:type="fixed"/>
        <w:tblCellMar>
          <w:top w:w="0" w:type="dxa"/>
          <w:left w:w="0" w:type="dxa"/>
          <w:bottom w:w="0" w:type="dxa"/>
          <w:right w:w="0" w:type="dxa"/>
        </w:tblCellMar>
      </w:tblPr>
      <w:tblGrid>
        <w:gridCol w:w="4381"/>
        <w:gridCol w:w="1696"/>
        <w:gridCol w:w="154"/>
      </w:tblGrid>
      <w:tr>
        <w:trPr/>
        <w:tc>
          <w:tcPr>
            <w:tcW w:w="43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Legal Representative / Authorized Representative:</w:t>
            </w:r>
          </w:p>
        </w:tc>
        <w:tc>
          <w:tcPr>
            <w:tcW w:w="16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Company Stamp</w:t>
            </w:r>
          </w:p>
        </w:tc>
        <w:tc>
          <w:tcPr>
            <w:tcW w:w="154" w:type="dxa"/>
            <w:tcBorders/>
            <w:vAlign w:val="center"/>
          </w:tcPr>
          <w:p>
            <w:pPr>
              <w:pStyle w:val="TableContents"/>
              <w:bidi w:val="0"/>
              <w:spacing w:before="0" w:after="0"/>
              <w:ind w:left="0" w:right="0" w:hanging="0"/>
              <w:jc w:val="left"/>
              <w:rPr/>
            </w:pPr>
            <w:r>
              <w:rPr/>
              <w:t>​</w:t>
            </w:r>
          </w:p>
        </w:tc>
      </w:tr>
      <w:tr>
        <w:trPr/>
        <w:tc>
          <w:tcPr>
            <w:tcW w:w="4381" w:type="dxa"/>
            <w:tcBorders/>
            <w:vAlign w:val="center"/>
          </w:tcPr>
          <w:p>
            <w:pPr>
              <w:pStyle w:val="TableContents"/>
              <w:bidi w:val="0"/>
              <w:spacing w:before="0" w:after="0"/>
              <w:ind w:left="0" w:right="0" w:hanging="0"/>
              <w:jc w:val="left"/>
              <w:rPr/>
            </w:pPr>
            <w:r>
              <w:rPr/>
              <w:t>​</w:t>
            </w:r>
          </w:p>
        </w:tc>
        <w:tc>
          <w:tcPr>
            <w:tcW w:w="169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07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 xml:space="preserve">Date: </w:t>
            </w:r>
            <w:r>
              <w:rPr>
                <w:rFonts w:ascii="Times New Roman;Times;serif" w:hAnsi="Times New Roman;Times;serif"/>
                <w:sz w:val="20"/>
              </w:rPr>
              <w:t>August 10, 2026</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PARTY B (Company Seal): </w:t>
      </w:r>
      <w:r>
        <w:rPr>
          <w:rFonts w:ascii="Times New Roman;Times;serif" w:hAnsi="Times New Roman;Times;serif"/>
          <w:sz w:val="20"/>
        </w:rPr>
        <w:t>Naiside (Shenzhen) International Trading Co., Ltd.</w:t>
      </w:r>
    </w:p>
    <w:tbl>
      <w:tblPr>
        <w:tblW w:w="6231" w:type="dxa"/>
        <w:jc w:val="left"/>
        <w:tblInd w:w="0" w:type="dxa"/>
        <w:tblLayout w:type="fixed"/>
        <w:tblCellMar>
          <w:top w:w="0" w:type="dxa"/>
          <w:left w:w="0" w:type="dxa"/>
          <w:bottom w:w="0" w:type="dxa"/>
          <w:right w:w="0" w:type="dxa"/>
        </w:tblCellMar>
      </w:tblPr>
      <w:tblGrid>
        <w:gridCol w:w="4381"/>
        <w:gridCol w:w="1696"/>
        <w:gridCol w:w="154"/>
      </w:tblGrid>
      <w:tr>
        <w:trPr/>
        <w:tc>
          <w:tcPr>
            <w:tcW w:w="43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Legal Representative / Authorized Representative:</w:t>
            </w:r>
          </w:p>
        </w:tc>
        <w:tc>
          <w:tcPr>
            <w:tcW w:w="16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Company Stamp</w:t>
            </w:r>
          </w:p>
        </w:tc>
        <w:tc>
          <w:tcPr>
            <w:tcW w:w="154" w:type="dxa"/>
            <w:tcBorders/>
            <w:vAlign w:val="center"/>
          </w:tcPr>
          <w:p>
            <w:pPr>
              <w:pStyle w:val="TableContents"/>
              <w:bidi w:val="0"/>
              <w:spacing w:before="0" w:after="0"/>
              <w:ind w:left="0" w:right="0" w:hanging="0"/>
              <w:jc w:val="left"/>
              <w:rPr/>
            </w:pPr>
            <w:r>
              <w:rPr/>
              <w:t>​</w:t>
            </w:r>
          </w:p>
        </w:tc>
      </w:tr>
      <w:tr>
        <w:trPr/>
        <w:tc>
          <w:tcPr>
            <w:tcW w:w="4381" w:type="dxa"/>
            <w:tcBorders/>
            <w:vAlign w:val="center"/>
          </w:tcPr>
          <w:p>
            <w:pPr>
              <w:pStyle w:val="TableContents"/>
              <w:bidi w:val="0"/>
              <w:spacing w:before="0" w:after="0"/>
              <w:ind w:left="0" w:right="0" w:hanging="0"/>
              <w:jc w:val="left"/>
              <w:rPr/>
            </w:pPr>
            <w:r>
              <w:rPr/>
              <w:t>​</w:t>
            </w:r>
          </w:p>
        </w:tc>
        <w:tc>
          <w:tcPr>
            <w:tcW w:w="169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 xml:space="preserve">Date: </w:t>
            </w:r>
            <w:r>
              <w:rPr>
                <w:rFonts w:ascii="Times New Roman;Times;serif" w:hAnsi="Times New Roman;Times;serif"/>
                <w:sz w:val="20"/>
              </w:rPr>
              <w:t>August 10, 2026</w:t>
            </w:r>
          </w:p>
        </w:tc>
        <w:tc>
          <w:tcPr>
            <w:tcW w:w="169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Page 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433" w:name="ctnt-20260630xex10d10.htm"/>
      <w:bookmarkStart w:id="1434" w:name="ksctnt20260630xex10d10"/>
      <w:bookmarkEnd w:id="1433"/>
      <w:bookmarkEnd w:id="1434"/>
      <w:r>
        <w:rPr>
          <w:rFonts w:ascii="Times New Roman;Times;serif" w:hAnsi="Times New Roman;Times;serif"/>
          <w:b/>
          <w:sz w:val="20"/>
        </w:rPr>
        <w:t>Exhibit 10.10</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LOAN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THIS LOAN AGREEMENT </w:t>
      </w:r>
      <w:r>
        <w:rPr>
          <w:rFonts w:ascii="Times New Roman;Times;serif" w:hAnsi="Times New Roman;Times;serif"/>
          <w:sz w:val="20"/>
        </w:rPr>
        <w:t>(“Agreement”) is entered into as of May 14, 2026, by and between Cheetah Net Supply Chain Service Inc., a North Carolina corporation (“Lender”), and Hongkong Sanyou Petroleum Co Limited. (“Borrower”).</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RECITALS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Borrower desires to borrow from Lender, and Lender agrees to loan to Borrower, the Loan amounts described below.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NOW, THEREFORE, Lender and Borrower agree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b/>
          <w:sz w:val="20"/>
        </w:rPr>
        <w:t>LOAN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1.1</w:t>
      </w:r>
      <w:r>
        <w:rPr>
          <w:rFonts w:ascii="Times New Roman;Times;serif" w:hAnsi="Times New Roman;Times;serif"/>
          <w:b/>
          <w:sz w:val="20"/>
        </w:rPr>
        <w:t xml:space="preserve">Loan. </w:t>
      </w:r>
      <w:r>
        <w:rPr>
          <w:rFonts w:ascii="Times New Roman;Times;serif" w:hAnsi="Times New Roman;Times;serif"/>
          <w:sz w:val="20"/>
        </w:rPr>
        <w:t>Lender agrees to lend to Borrower and Borrower agrees to borrow from Lender the principal amount of Four Million Dollars ($4,000,000) (the “Loan”).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1.2</w:t>
      </w:r>
      <w:r>
        <w:rPr>
          <w:rFonts w:ascii="Times New Roman;Times;serif" w:hAnsi="Times New Roman;Times;serif"/>
          <w:b/>
          <w:sz w:val="20"/>
        </w:rPr>
        <w:t xml:space="preserve">Interest. </w:t>
      </w:r>
      <w:r>
        <w:rPr>
          <w:rFonts w:ascii="Times New Roman;Times;serif" w:hAnsi="Times New Roman;Times;serif"/>
          <w:sz w:val="20"/>
        </w:rPr>
        <w:t>Except as provided in Section 1.4, the Loan shall bear interest at an annual rate of 5%, calculated on the basis of a 360-day year for the actual number of days for which interest is calculated..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1.3</w:t>
      </w:r>
      <w:r>
        <w:rPr>
          <w:rFonts w:ascii="Times New Roman;Times;serif" w:hAnsi="Times New Roman;Times;serif"/>
          <w:b/>
          <w:sz w:val="20"/>
        </w:rPr>
        <w:t>Term and Payment Schedule.</w:t>
      </w:r>
    </w:p>
    <w:tbl>
      <w:tblPr>
        <w:tblW w:w="10143" w:type="dxa"/>
        <w:jc w:val="left"/>
        <w:tblInd w:w="0" w:type="dxa"/>
        <w:tblLayout w:type="fixed"/>
        <w:tblCellMar>
          <w:top w:w="0" w:type="dxa"/>
          <w:left w:w="0" w:type="dxa"/>
          <w:bottom w:w="0" w:type="dxa"/>
          <w:right w:w="0" w:type="dxa"/>
        </w:tblCellMar>
      </w:tblPr>
      <w:tblGrid>
        <w:gridCol w:w="23"/>
        <w:gridCol w:w="185"/>
        <w:gridCol w:w="993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a)</w:t>
            </w:r>
          </w:p>
        </w:tc>
        <w:tc>
          <w:tcPr>
            <w:tcW w:w="99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 xml:space="preserve">Term: </w:t>
            </w:r>
            <w:r>
              <w:rPr>
                <w:rFonts w:ascii="Times New Roman;Times;serif" w:hAnsi="Times New Roman;Times;serif"/>
                <w:sz w:val="20"/>
              </w:rPr>
              <w:t>The initial term of the Loan shall be twelve (12) months from the date of disbursement (the “Initial Maturity Date”).</w:t>
            </w:r>
          </w:p>
        </w:tc>
      </w:tr>
    </w:tbl>
    <w:tbl>
      <w:tblPr>
        <w:tblW w:w="10205" w:type="dxa"/>
        <w:jc w:val="left"/>
        <w:tblInd w:w="0" w:type="dxa"/>
        <w:tblLayout w:type="fixed"/>
        <w:tblCellMar>
          <w:top w:w="0" w:type="dxa"/>
          <w:left w:w="0" w:type="dxa"/>
          <w:bottom w:w="0" w:type="dxa"/>
          <w:right w:w="0" w:type="dxa"/>
        </w:tblCellMar>
      </w:tblPr>
      <w:tblGrid>
        <w:gridCol w:w="23"/>
        <w:gridCol w:w="154"/>
        <w:gridCol w:w="10028"/>
      </w:tblGrid>
      <w:tr>
        <w:trPr/>
        <w:tc>
          <w:tcPr>
            <w:tcW w:w="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b)</w:t>
            </w:r>
          </w:p>
        </w:tc>
        <w:tc>
          <w:tcPr>
            <w:tcW w:w="1002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b/>
                <w:sz w:val="20"/>
              </w:rPr>
              <w:t xml:space="preserve">Interest Payments: </w:t>
            </w:r>
            <w:r>
              <w:rPr>
                <w:rFonts w:ascii="Times New Roman;Times;serif" w:hAnsi="Times New Roman;Times;serif"/>
                <w:sz w:val="20"/>
              </w:rPr>
              <w:t>Borrower shall pay interest semi-annually. The first interest payment shall be due and payable on the date six (6) months after the disbursement, and the second interest payment shall be due on the Initial Maturity Date.</w:t>
            </w:r>
          </w:p>
        </w:tc>
      </w:tr>
    </w:tbl>
    <w:tbl>
      <w:tblPr>
        <w:tblW w:w="10205" w:type="dxa"/>
        <w:jc w:val="left"/>
        <w:tblInd w:w="0" w:type="dxa"/>
        <w:tblLayout w:type="fixed"/>
        <w:tblCellMar>
          <w:top w:w="0" w:type="dxa"/>
          <w:left w:w="0" w:type="dxa"/>
          <w:bottom w:w="0" w:type="dxa"/>
          <w:right w:w="0" w:type="dxa"/>
        </w:tblCellMar>
      </w:tblPr>
      <w:tblGrid>
        <w:gridCol w:w="23"/>
        <w:gridCol w:w="158"/>
        <w:gridCol w:w="10024"/>
      </w:tblGrid>
      <w:tr>
        <w:trPr/>
        <w:tc>
          <w:tcPr>
            <w:tcW w:w="2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w:t>
            </w:r>
          </w:p>
        </w:tc>
        <w:tc>
          <w:tcPr>
            <w:tcW w:w="1002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 xml:space="preserve">Principal Repayment: </w:t>
            </w:r>
            <w:r>
              <w:rPr>
                <w:rFonts w:ascii="Times New Roman;Times;serif" w:hAnsi="Times New Roman;Times;serif"/>
                <w:sz w:val="20"/>
              </w:rPr>
              <w:t>Subject to Section 1.3(d), the Borrower shall repay the entire unpaid principal amount of the Loan on the Initial Maturity Date.</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b/>
                <w:sz w:val="20"/>
              </w:rPr>
              <w:t xml:space="preserve">Extension Option: </w:t>
            </w:r>
            <w:r>
              <w:rPr>
                <w:rFonts w:ascii="Times New Roman;Times;serif" w:hAnsi="Times New Roman;Times;serif"/>
                <w:sz w:val="20"/>
              </w:rPr>
              <w:t>Borrower shall have the option to extend the Maturity Date for an additional twelve (12) months (the “Extended Maturity Date”) by providing written notice to Lender at least thirty (30) days prior to the Initial Maturity Date. During the extension period, interest shall continue to be paid semi-annually at the rate specified in Section 1.2.</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1.4</w:t>
      </w:r>
      <w:r>
        <w:rPr>
          <w:rFonts w:ascii="Times New Roman;Times;serif" w:hAnsi="Times New Roman;Times;serif"/>
          <w:b/>
          <w:sz w:val="20"/>
        </w:rPr>
        <w:t xml:space="preserve">Overdue Payments. </w:t>
      </w:r>
      <w:r>
        <w:rPr>
          <w:rFonts w:ascii="Times New Roman;Times;serif" w:hAnsi="Times New Roman;Times;serif"/>
          <w:sz w:val="20"/>
        </w:rPr>
        <w:t>Any overdue payments or unpaid portions of such payments under this Loan shall bear interest, payable on demand, at an annual rate of 7.5%, until repaid by Borrower; provided, however, that the aggregate rate of interest shall not exceed the maximum permissible interest rate under applicable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1.5</w:t>
      </w:r>
      <w:r>
        <w:rPr>
          <w:rFonts w:ascii="Times New Roman;Times;serif" w:hAnsi="Times New Roman;Times;serif"/>
          <w:b/>
          <w:sz w:val="20"/>
        </w:rPr>
        <w:t xml:space="preserve">Disbursement by Lender. </w:t>
      </w:r>
      <w:r>
        <w:rPr>
          <w:rFonts w:ascii="Times New Roman;Times;serif" w:hAnsi="Times New Roman;Times;serif"/>
          <w:sz w:val="20"/>
        </w:rPr>
        <w:t>Lender will pay the Loan to Borrower via wire transfer to the following account at such time after the execution of this Agreement as Lender in its sole discretion may determine.</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Beneficiary Bank</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SWIFT Code#</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Bank Name:</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sz w:val="20"/>
        </w:rPr>
        <w:t>Address:</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Beneficiary Party</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Name:</w:t>
      </w:r>
    </w:p>
    <w:p>
      <w:pPr>
        <w:pStyle w:val="TextBody"/>
        <w:bidi w:val="0"/>
        <w:spacing w:before="0" w:after="360"/>
        <w:ind w:left="576"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20"/>
        <w:ind w:left="360" w:right="0" w:hanging="0"/>
        <w:jc w:val="left"/>
        <w:rPr>
          <w:rFonts w:ascii="Times New Roman;Times;serif" w:hAnsi="Times New Roman;Times;serif"/>
          <w:sz w:val="20"/>
        </w:rPr>
      </w:pPr>
      <w:r>
        <w:rPr>
          <w:rFonts w:ascii="Times New Roman;Times;serif" w:hAnsi="Times New Roman;Times;serif"/>
          <w:sz w:val="20"/>
        </w:rPr>
        <w:t>Physical Address:</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sz w:val="20"/>
        </w:rPr>
        <w:t>Account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1.6</w:t>
      </w:r>
      <w:r>
        <w:rPr>
          <w:rFonts w:ascii="Times New Roman;Times;serif" w:hAnsi="Times New Roman;Times;serif"/>
          <w:b/>
          <w:sz w:val="20"/>
        </w:rPr>
        <w:t xml:space="preserve">Payments by Borrower. </w:t>
      </w:r>
      <w:r>
        <w:rPr>
          <w:rFonts w:ascii="Times New Roman;Times;serif" w:hAnsi="Times New Roman;Times;serif"/>
          <w:sz w:val="20"/>
        </w:rPr>
        <w:t>Borrower shall make payments to Lender via wire transfer to an account specified by Lender.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1.7</w:t>
      </w:r>
      <w:r>
        <w:rPr>
          <w:rFonts w:ascii="Times New Roman;Times;serif" w:hAnsi="Times New Roman;Times;serif"/>
          <w:b/>
          <w:sz w:val="20"/>
        </w:rPr>
        <w:t xml:space="preserve">Computations and Records. </w:t>
      </w:r>
      <w:r>
        <w:rPr>
          <w:rFonts w:ascii="Times New Roman;Times;serif" w:hAnsi="Times New Roman;Times;serif"/>
          <w:sz w:val="20"/>
        </w:rPr>
        <w:t>Lender shall record the date and amount of each payment by Borrower, and the resulting balance of the Loan. Borrower acknowledges and agrees that Lender’s books and records relating to the transactions of this Agreement, including, without limitation, interest computations, shall be deemed correct, accurate and binding on Borrower.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REPRESENTATIONS AND WARRANTIES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Borrower represents and warrants to Lender the following: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2.1</w:t>
      </w:r>
      <w:r>
        <w:rPr>
          <w:rFonts w:ascii="Times New Roman;Times;serif" w:hAnsi="Times New Roman;Times;serif"/>
          <w:b/>
          <w:sz w:val="20"/>
        </w:rPr>
        <w:t xml:space="preserve">Due Organization and Qualification. </w:t>
      </w:r>
      <w:r>
        <w:rPr>
          <w:rFonts w:ascii="Times New Roman;Times;serif" w:hAnsi="Times New Roman;Times;serif"/>
          <w:sz w:val="20"/>
        </w:rPr>
        <w:t>Borrower is a corporation duly organized, validly existing, and in good standing under the laws of the state in which it is incorporated.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2.2</w:t>
      </w:r>
      <w:r>
        <w:rPr>
          <w:rFonts w:ascii="Times New Roman;Times;serif" w:hAnsi="Times New Roman;Times;serif"/>
          <w:b/>
          <w:sz w:val="20"/>
        </w:rPr>
        <w:t xml:space="preserve">Due Authorization; No Conflict. </w:t>
      </w:r>
      <w:r>
        <w:rPr>
          <w:rFonts w:ascii="Times New Roman;Times;serif" w:hAnsi="Times New Roman;Times;serif"/>
          <w:sz w:val="20"/>
        </w:rPr>
        <w:t>The execution, delivery, and performance of the Agreement is within Borrower’s corporate powers, has been authorized by Borrower’s Board of Directors, will not conflict with or breach any provision of Borrower’s Articles of Incorporation or Bylaws, and will not create or result in a breach or default under any contract or any law, regulation, or order by which Borrower is bound.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2.3</w:t>
      </w:r>
      <w:r>
        <w:rPr>
          <w:rFonts w:ascii="Times New Roman;Times;serif" w:hAnsi="Times New Roman;Times;serif"/>
          <w:b/>
          <w:sz w:val="20"/>
        </w:rPr>
        <w:t xml:space="preserve">Enforceable Agreement. </w:t>
      </w:r>
      <w:r>
        <w:rPr>
          <w:rFonts w:ascii="Times New Roman;Times;serif" w:hAnsi="Times New Roman;Times;serif"/>
          <w:sz w:val="20"/>
        </w:rPr>
        <w:t>This Agreement has been duly executed and delivered by Borrower and is the legal, valid, and binding obligation of Borrower, enforceable against it in accordance with its terms.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2.4</w:t>
      </w:r>
      <w:r>
        <w:rPr>
          <w:rFonts w:ascii="Times New Roman;Times;serif" w:hAnsi="Times New Roman;Times;serif"/>
          <w:b/>
          <w:sz w:val="20"/>
        </w:rPr>
        <w:t xml:space="preserve">Compliance with Law. </w:t>
      </w:r>
      <w:r>
        <w:rPr>
          <w:rFonts w:ascii="Times New Roman;Times;serif" w:hAnsi="Times New Roman;Times;serif"/>
          <w:sz w:val="20"/>
        </w:rPr>
        <w:t>Borrower is not in violation of any law, regulation, order or agreement, the consequences of which could reasonably be expected to have a material adverse effect on Borrower.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AFFIRMATIVE COVENANTS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3.1</w:t>
      </w:r>
      <w:r>
        <w:rPr>
          <w:rFonts w:ascii="Times New Roman;Times;serif" w:hAnsi="Times New Roman;Times;serif"/>
          <w:b/>
          <w:sz w:val="20"/>
        </w:rPr>
        <w:t xml:space="preserve">Good Standing. </w:t>
      </w:r>
      <w:r>
        <w:rPr>
          <w:rFonts w:ascii="Times New Roman;Times;serif" w:hAnsi="Times New Roman;Times;serif"/>
          <w:sz w:val="20"/>
        </w:rPr>
        <w:t>Borrower shall remain in good standing as a corporation in the jurisdiction of its incorporation.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3.2</w:t>
      </w:r>
      <w:r>
        <w:rPr>
          <w:rFonts w:ascii="Times New Roman;Times;serif" w:hAnsi="Times New Roman;Times;serif"/>
          <w:b/>
          <w:sz w:val="20"/>
        </w:rPr>
        <w:t xml:space="preserve">Compliance with Law. </w:t>
      </w:r>
      <w:r>
        <w:rPr>
          <w:rFonts w:ascii="Times New Roman;Times;serif" w:hAnsi="Times New Roman;Times;serif"/>
          <w:sz w:val="20"/>
        </w:rPr>
        <w:t>Borrower shall comply with all laws, regulations, and orders applicable to 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3.3</w:t>
      </w:r>
      <w:r>
        <w:rPr>
          <w:rFonts w:ascii="Times New Roman;Times;serif" w:hAnsi="Times New Roman;Times;serif"/>
          <w:b/>
          <w:sz w:val="20"/>
        </w:rPr>
        <w:t xml:space="preserve">Maintenance of Property. </w:t>
      </w:r>
      <w:r>
        <w:rPr>
          <w:rFonts w:ascii="Times New Roman;Times;serif" w:hAnsi="Times New Roman;Times;serif"/>
          <w:sz w:val="20"/>
        </w:rPr>
        <w:t>Borrower shall maintain all of its property necessary and useful in the conduct of its business in good operating condition and repair, ordinary wear and tear excepted.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3.4</w:t>
      </w:r>
      <w:r>
        <w:rPr>
          <w:rFonts w:ascii="Times New Roman;Times;serif" w:hAnsi="Times New Roman;Times;serif"/>
          <w:b/>
          <w:sz w:val="20"/>
        </w:rPr>
        <w:t xml:space="preserve">Insurance. </w:t>
      </w:r>
      <w:r>
        <w:rPr>
          <w:rFonts w:ascii="Times New Roman;Times;serif" w:hAnsi="Times New Roman;Times;serif"/>
          <w:sz w:val="20"/>
        </w:rPr>
        <w:t>Borrower shall maintain and keep in force insurance of the types and amounts customarily carried in its line of business, including, without limitation, fire, public liability, property damage and workers’ compensation.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w:t>
      </w:r>
      <w:r>
        <w:rPr>
          <w:rFonts w:ascii="Times New Roman;Times;serif" w:hAnsi="Times New Roman;Times;serif"/>
          <w:b/>
          <w:sz w:val="20"/>
        </w:rPr>
        <w:t>REPORTING COVENANTS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4.1</w:t>
      </w:r>
      <w:r>
        <w:rPr>
          <w:rFonts w:ascii="Times New Roman;Times;serif" w:hAnsi="Times New Roman;Times;serif"/>
          <w:b/>
          <w:sz w:val="20"/>
        </w:rPr>
        <w:t xml:space="preserve">Notice to Lender. </w:t>
      </w:r>
      <w:r>
        <w:rPr>
          <w:rFonts w:ascii="Times New Roman;Times;serif" w:hAnsi="Times New Roman;Times;serif"/>
          <w:sz w:val="20"/>
        </w:rPr>
        <w:t>Borrower shall promptly notify Lender of: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tbl>
      <w:tblPr>
        <w:tblW w:w="6198" w:type="dxa"/>
        <w:jc w:val="left"/>
        <w:tblInd w:w="0" w:type="dxa"/>
        <w:tblLayout w:type="fixed"/>
        <w:tblCellMar>
          <w:top w:w="0" w:type="dxa"/>
          <w:left w:w="0" w:type="dxa"/>
          <w:bottom w:w="0" w:type="dxa"/>
          <w:right w:w="0" w:type="dxa"/>
        </w:tblCellMar>
      </w:tblPr>
      <w:tblGrid>
        <w:gridCol w:w="23"/>
        <w:gridCol w:w="200"/>
        <w:gridCol w:w="597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59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material change to Borrower’s fmancial condition or corporate status;</w:t>
            </w:r>
          </w:p>
        </w:tc>
      </w:tr>
    </w:tbl>
    <w:tbl>
      <w:tblPr>
        <w:tblW w:w="10205" w:type="dxa"/>
        <w:jc w:val="left"/>
        <w:tblInd w:w="0" w:type="dxa"/>
        <w:tblLayout w:type="fixed"/>
        <w:tblCellMar>
          <w:top w:w="0" w:type="dxa"/>
          <w:left w:w="0" w:type="dxa"/>
          <w:bottom w:w="0" w:type="dxa"/>
          <w:right w:w="0" w:type="dxa"/>
        </w:tblCellMar>
      </w:tblPr>
      <w:tblGrid>
        <w:gridCol w:w="23"/>
        <w:gridCol w:w="239"/>
        <w:gridCol w:w="9943"/>
      </w:tblGrid>
      <w:tr>
        <w:trPr/>
        <w:tc>
          <w:tcPr>
            <w:tcW w:w="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w:t>
            </w:r>
          </w:p>
        </w:tc>
        <w:tc>
          <w:tcPr>
            <w:tcW w:w="99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legal or regulatory action, proceeding or investigation threatened or instituted against Borrower that could reasonably be expected to have a material adverse effect on Borrower;</w:t>
            </w:r>
          </w:p>
        </w:tc>
      </w:tr>
    </w:tbl>
    <w:tbl>
      <w:tblPr>
        <w:tblW w:w="6948" w:type="dxa"/>
        <w:jc w:val="left"/>
        <w:tblInd w:w="0" w:type="dxa"/>
        <w:tblLayout w:type="fixed"/>
        <w:tblCellMar>
          <w:top w:w="0" w:type="dxa"/>
          <w:left w:w="0" w:type="dxa"/>
          <w:bottom w:w="0" w:type="dxa"/>
          <w:right w:w="0" w:type="dxa"/>
        </w:tblCellMar>
      </w:tblPr>
      <w:tblGrid>
        <w:gridCol w:w="23"/>
        <w:gridCol w:w="320"/>
        <w:gridCol w:w="660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(iii)</w:t>
            </w:r>
          </w:p>
        </w:tc>
        <w:tc>
          <w:tcPr>
            <w:tcW w:w="660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substantial damage to or destruction of Borrower’s business facilities or premises;</w:t>
            </w:r>
          </w:p>
        </w:tc>
      </w:tr>
    </w:tbl>
    <w:tbl>
      <w:tblPr>
        <w:tblW w:w="9933" w:type="dxa"/>
        <w:jc w:val="left"/>
        <w:tblInd w:w="0" w:type="dxa"/>
        <w:tblLayout w:type="fixed"/>
        <w:tblCellMar>
          <w:top w:w="0" w:type="dxa"/>
          <w:left w:w="0" w:type="dxa"/>
          <w:bottom w:w="0" w:type="dxa"/>
          <w:right w:w="0" w:type="dxa"/>
        </w:tblCellMar>
      </w:tblPr>
      <w:tblGrid>
        <w:gridCol w:w="23"/>
        <w:gridCol w:w="305"/>
        <w:gridCol w:w="9605"/>
      </w:tblGrid>
      <w:tr>
        <w:trPr/>
        <w:tc>
          <w:tcPr>
            <w:tcW w:w="2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(iv)</w:t>
            </w:r>
          </w:p>
        </w:tc>
        <w:tc>
          <w:tcPr>
            <w:tcW w:w="960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event of default under this Agreement, or any event that with lapse of time would constitute an event of default; or</w:t>
            </w:r>
          </w:p>
        </w:tc>
      </w:tr>
    </w:tbl>
    <w:tbl>
      <w:tblPr>
        <w:tblW w:w="7083" w:type="dxa"/>
        <w:jc w:val="left"/>
        <w:tblInd w:w="0" w:type="dxa"/>
        <w:tblLayout w:type="fixed"/>
        <w:tblCellMar>
          <w:top w:w="0" w:type="dxa"/>
          <w:left w:w="0" w:type="dxa"/>
          <w:bottom w:w="0" w:type="dxa"/>
          <w:right w:w="0" w:type="dxa"/>
        </w:tblCellMar>
      </w:tblPr>
      <w:tblGrid>
        <w:gridCol w:w="23"/>
        <w:gridCol w:w="245"/>
        <w:gridCol w:w="681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(v)</w:t>
            </w:r>
          </w:p>
        </w:tc>
        <w:tc>
          <w:tcPr>
            <w:tcW w:w="681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other development that has or could have a material adverse effect on Borrower.</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w:t>
      </w:r>
      <w:r>
        <w:rPr>
          <w:rFonts w:ascii="Times New Roman;Times;serif" w:hAnsi="Times New Roman;Times;serif"/>
          <w:b/>
          <w:sz w:val="20"/>
        </w:rPr>
        <w:t>NEGATIVE COVENANTS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5.1</w:t>
      </w:r>
      <w:r>
        <w:rPr>
          <w:rFonts w:ascii="Times New Roman;Times;serif" w:hAnsi="Times New Roman;Times;serif"/>
          <w:b/>
          <w:sz w:val="20"/>
        </w:rPr>
        <w:t xml:space="preserve">Additional Debt. </w:t>
      </w:r>
      <w:r>
        <w:rPr>
          <w:rFonts w:ascii="Times New Roman;Times;serif" w:hAnsi="Times New Roman;Times;serif"/>
          <w:sz w:val="20"/>
        </w:rPr>
        <w:t>Borrower shall not borrow money from other parties without first disclosing the proposed borrowing to Lender.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5.2</w:t>
      </w:r>
      <w:r>
        <w:rPr>
          <w:rFonts w:ascii="Times New Roman;Times;serif" w:hAnsi="Times New Roman;Times;serif"/>
          <w:b/>
          <w:sz w:val="20"/>
        </w:rPr>
        <w:t xml:space="preserve">Liens. </w:t>
      </w:r>
      <w:r>
        <w:rPr>
          <w:rFonts w:ascii="Times New Roman;Times;serif" w:hAnsi="Times New Roman;Times;serif"/>
          <w:sz w:val="20"/>
        </w:rPr>
        <w:t>Borrower shall not create, assume, or allow any security interest or lien on property that Borrower now or later owns except: (i) liens and security interests in favor of Lender; (ii) liens for taxes not yet due; (iii) liens outstanding on the date of this Agreement disclosed in writing to Lender; (iv) liens arising by operation of law; and (v) liens arising in the ordinary course of Borrower’s business securing amounts Borrower owes in the operation of its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5.3</w:t>
      </w:r>
      <w:r>
        <w:rPr>
          <w:rFonts w:ascii="Times New Roman;Times;serif" w:hAnsi="Times New Roman;Times;serif"/>
          <w:b/>
          <w:sz w:val="20"/>
        </w:rPr>
        <w:t xml:space="preserve">Sale of Assets; Change of Control; Mergers. </w:t>
      </w:r>
      <w:r>
        <w:rPr>
          <w:rFonts w:ascii="Times New Roman;Times;serif" w:hAnsi="Times New Roman;Times;serif"/>
          <w:sz w:val="20"/>
        </w:rPr>
        <w:t>Borrower shall not, without Lender’s prior written consent: (i) sell, lease, transfer or dispose of substantially all of its assets to another entity; (ii) issue equity which would result in a change of control of Borrower; or (iii) consolidate with or merge into another entity, permit any other entity to merge into it or consolidate with 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5.4</w:t>
      </w:r>
      <w:r>
        <w:rPr>
          <w:rFonts w:ascii="Times New Roman;Times;serif" w:hAnsi="Times New Roman;Times;serif"/>
          <w:b/>
          <w:sz w:val="20"/>
        </w:rPr>
        <w:t xml:space="preserve">Changes in Nature of Business. </w:t>
      </w:r>
      <w:r>
        <w:rPr>
          <w:rFonts w:ascii="Times New Roman;Times;serif" w:hAnsi="Times New Roman;Times;serif"/>
          <w:sz w:val="20"/>
        </w:rPr>
        <w:t>Borrower shall not, directly or indirectly, engage in any business not related or incidental to the business conducted by Borrower on the date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w:t>
      </w:r>
      <w:r>
        <w:rPr>
          <w:rFonts w:ascii="Times New Roman;Times;serif" w:hAnsi="Times New Roman;Times;serif"/>
          <w:b/>
          <w:sz w:val="20"/>
        </w:rPr>
        <w:t>EVENTS OF DEFAULT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Any one or more of the following events shall constitute an Event of Default: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6.1</w:t>
      </w:r>
      <w:r>
        <w:rPr>
          <w:rFonts w:ascii="Times New Roman;Times;serif" w:hAnsi="Times New Roman;Times;serif"/>
          <w:b/>
          <w:sz w:val="20"/>
        </w:rPr>
        <w:t xml:space="preserve">Payment Default. </w:t>
      </w:r>
      <w:r>
        <w:rPr>
          <w:rFonts w:ascii="Times New Roman;Times;serif" w:hAnsi="Times New Roman;Times;serif"/>
          <w:sz w:val="20"/>
        </w:rPr>
        <w:t>Borrower fails to make any interest or principal payment or payment of any other obligation under this Agreement after it is due.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6.2</w:t>
      </w:r>
      <w:r>
        <w:rPr>
          <w:rFonts w:ascii="Times New Roman;Times;serif" w:hAnsi="Times New Roman;Times;serif"/>
          <w:b/>
          <w:sz w:val="20"/>
        </w:rPr>
        <w:t xml:space="preserve">Misrepresentations. </w:t>
      </w:r>
      <w:r>
        <w:rPr>
          <w:rFonts w:ascii="Times New Roman;Times;serif" w:hAnsi="Times New Roman;Times;serif"/>
          <w:sz w:val="20"/>
        </w:rPr>
        <w:t>Any representation or warranty or statement made by Borrower in this Agreement or in any fmancial statement, report or certificate furnished by Borrower to Lender under this Agreement proves to be untrue in any material respect as of the date on which the representation or statement was made.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6.3</w:t>
      </w:r>
      <w:r>
        <w:rPr>
          <w:rFonts w:ascii="Times New Roman;Times;serif" w:hAnsi="Times New Roman;Times;serif"/>
          <w:b/>
          <w:sz w:val="20"/>
        </w:rPr>
        <w:t xml:space="preserve">Covenants. </w:t>
      </w:r>
      <w:r>
        <w:rPr>
          <w:rFonts w:ascii="Times New Roman;Times;serif" w:hAnsi="Times New Roman;Times;serif"/>
          <w:sz w:val="20"/>
        </w:rPr>
        <w:t>Borrower fails to perform or observe any covenants or any other material provision of this Agreement, aside from payment, and such failure continues for 15 days.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6.4</w:t>
      </w:r>
      <w:r>
        <w:rPr>
          <w:rFonts w:ascii="Times New Roman;Times;serif" w:hAnsi="Times New Roman;Times;serif"/>
          <w:b/>
          <w:sz w:val="20"/>
        </w:rPr>
        <w:t xml:space="preserve">Insolvency. </w:t>
      </w:r>
      <w:r>
        <w:rPr>
          <w:rFonts w:ascii="Times New Roman;Times;serif" w:hAnsi="Times New Roman;Times;serif"/>
          <w:sz w:val="20"/>
        </w:rPr>
        <w:t>Borrower becomes insolvent, or an insolvency proceeding is commenced by Borrower or commenced against Borrower and is not dismissed or stayed within 30 days. “Insolvency proceeding” means any proceeding commenced by or against any person or entity under any provision of the United States Bankruptcy Code, as amended, or under any other bankruptcy or insolvency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6.5</w:t>
      </w:r>
      <w:r>
        <w:rPr>
          <w:rFonts w:ascii="Times New Roman;Times;serif" w:hAnsi="Times New Roman;Times;serif"/>
          <w:b/>
          <w:sz w:val="20"/>
        </w:rPr>
        <w:t xml:space="preserve">Other Agreements. </w:t>
      </w:r>
      <w:r>
        <w:rPr>
          <w:rFonts w:ascii="Times New Roman;Times;serif" w:hAnsi="Times New Roman;Times;serif"/>
          <w:sz w:val="20"/>
        </w:rPr>
        <w:t>There is a default or other failure to perform by Borrower under any agreement to which Borrower is a party resulting in a third-party right, whether or not exercised, to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accelerate the maturity of any indebtedness in an amount in excess of $4,000,000 or that would reasonably be expected to have a material adverse effect on Borrower.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6.6</w:t>
      </w:r>
      <w:r>
        <w:rPr>
          <w:rFonts w:ascii="Times New Roman;Times;serif" w:hAnsi="Times New Roman;Times;serif"/>
          <w:b/>
          <w:sz w:val="20"/>
        </w:rPr>
        <w:t xml:space="preserve">Judgments. </w:t>
      </w:r>
      <w:r>
        <w:rPr>
          <w:rFonts w:ascii="Times New Roman;Times;serif" w:hAnsi="Times New Roman;Times;serif"/>
          <w:sz w:val="20"/>
        </w:rPr>
        <w:t>A judgment or judgments for the payment of money in an amount, individually or in the aggregate, of at least $4,000,000 shall be rendered against Borrower and shall remain unsatisfied and unstayed for a period of 10 days.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7.</w:t>
      </w:r>
      <w:r>
        <w:rPr>
          <w:rFonts w:ascii="Times New Roman;Times;serif" w:hAnsi="Times New Roman;Times;serif"/>
          <w:b/>
          <w:sz w:val="20"/>
        </w:rPr>
        <w:t>RIGHTS AND REMEDIES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an event of default exists, Lender may terminate this Agreement and declare the outstanding balance of the Loan immediately due and payable. Lender’s rights and remedies under this Agreement and all other agreements shall be cumulative. No exercise by Lender of one right or remedy shall be deemed an election of, or waiver of, any other right or remedy.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w:t>
      </w:r>
      <w:r>
        <w:rPr>
          <w:rFonts w:ascii="Times New Roman;Times;serif" w:hAnsi="Times New Roman;Times;serif"/>
          <w:b/>
          <w:sz w:val="20"/>
        </w:rPr>
        <w:t>RELATIONSHIP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8.1</w:t>
      </w:r>
      <w:r>
        <w:rPr>
          <w:rFonts w:ascii="Times New Roman;Times;serif" w:hAnsi="Times New Roman;Times;serif"/>
          <w:b/>
          <w:sz w:val="20"/>
        </w:rPr>
        <w:t xml:space="preserve">Independent Organizations. </w:t>
      </w:r>
      <w:r>
        <w:rPr>
          <w:rFonts w:ascii="Times New Roman;Times;serif" w:hAnsi="Times New Roman;Times;serif"/>
          <w:sz w:val="20"/>
        </w:rPr>
        <w:t>Lender and Borrower are separate corporate entities and independent contracting parties. Borrower acknowledges that the conduct of Borrower and its employees and agents, and any other legal obligations of Borrower, are the sole responsibility of Borrower. This Agreement and its performance will not create a partnership, joint venture, employment, fiduciary, or similar relationship for any purpose.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8.2</w:t>
      </w:r>
      <w:r>
        <w:rPr>
          <w:rFonts w:ascii="Times New Roman;Times;serif" w:hAnsi="Times New Roman;Times;serif"/>
          <w:b/>
          <w:sz w:val="20"/>
        </w:rPr>
        <w:t xml:space="preserve">Confidentiality. </w:t>
      </w:r>
      <w:r>
        <w:rPr>
          <w:rFonts w:ascii="Times New Roman;Times;serif" w:hAnsi="Times New Roman;Times;serif"/>
          <w:sz w:val="20"/>
        </w:rPr>
        <w:t>Each party shall keep confidential and shall not disclose or use for its benefit or the benefit of any third party, other than in connection with its activities under this Agreement, any confidential information obtained from the other party, without obtaining the other party’s prior written consent, except to the extent that such confidential information is required to be disclosed by law. Confidential information does not include information that: (i) is or becomes generally available to the public other than as a result of a disclosure by either party; (ii) was known by either party before being furnished by the other party; (iii) is independently developed by either party without use, directly or indirectly, of any confidential information or (iv) is or becomes available to either party on a non-confidential basis from a source other than the other party.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8.3</w:t>
      </w:r>
      <w:r>
        <w:rPr>
          <w:rFonts w:ascii="Times New Roman;Times;serif" w:hAnsi="Times New Roman;Times;serif"/>
          <w:b/>
          <w:sz w:val="20"/>
        </w:rPr>
        <w:t xml:space="preserve">Indemnification. </w:t>
      </w:r>
      <w:r>
        <w:rPr>
          <w:rFonts w:ascii="Times New Roman;Times;serif" w:hAnsi="Times New Roman;Times;serif"/>
          <w:sz w:val="20"/>
        </w:rPr>
        <w:t>Borrower shall defend, indemnify, and hold Lender, and its directors, officers, employees, agents, and affiliates, harmless from and against any and all claims, liabilities, losses, damages, and expenses, including, without limitation, reasonable attorneys’ fees and expenses, that may arise, directly or indirectly, from (i) any breach by Borrower of its obligations under this Agreement; or (ii) any other act or omission by Borrower. Borrower shall have no obligation to indemnify Lender to the extent the liability is solely caused by Lender’s gross negligence or willful misconduct.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8.4</w:t>
      </w:r>
      <w:r>
        <w:rPr>
          <w:rFonts w:ascii="Times New Roman;Times;serif" w:hAnsi="Times New Roman;Times;serif"/>
          <w:b/>
          <w:sz w:val="20"/>
        </w:rPr>
        <w:t xml:space="preserve">Inspection. </w:t>
      </w:r>
      <w:r>
        <w:rPr>
          <w:rFonts w:ascii="Times New Roman;Times;serif" w:hAnsi="Times New Roman;Times;serif"/>
          <w:sz w:val="20"/>
        </w:rPr>
        <w:t>Borrower shall permit Lender, or any persons designated by Lender, at any reasonable time, to inspect Borrower’s facilities and to inspect, audit, examine and make copies of Borrower’s books, records, and accounts.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w:t>
      </w:r>
      <w:r>
        <w:rPr>
          <w:rFonts w:ascii="Times New Roman;Times;serif" w:hAnsi="Times New Roman;Times;serif"/>
          <w:b/>
          <w:sz w:val="20"/>
        </w:rPr>
        <w:t>GENERAL PROVISIONS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9.1</w:t>
      </w:r>
      <w:r>
        <w:rPr>
          <w:rFonts w:ascii="Times New Roman;Times;serif" w:hAnsi="Times New Roman;Times;serif"/>
          <w:b/>
          <w:sz w:val="20"/>
        </w:rPr>
        <w:t xml:space="preserve">Entire Agreement. </w:t>
      </w:r>
      <w:r>
        <w:rPr>
          <w:rFonts w:ascii="Times New Roman;Times;serif" w:hAnsi="Times New Roman;Times;serif"/>
          <w:sz w:val="20"/>
        </w:rPr>
        <w:t>This Agreement is the entire agreement between Lender and Borrower and supersedes all prior or contemporaneous communications, representations, understandings, and agreements, either oral or written, relating to the lending relationship contemplated by the subject matter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9.2</w:t>
      </w:r>
      <w:r>
        <w:rPr>
          <w:rFonts w:ascii="Times New Roman;Times;serif" w:hAnsi="Times New Roman;Times;serif"/>
          <w:b/>
          <w:sz w:val="20"/>
        </w:rPr>
        <w:t xml:space="preserve">Governing Law. </w:t>
      </w:r>
      <w:r>
        <w:rPr>
          <w:rFonts w:ascii="Times New Roman;Times;serif" w:hAnsi="Times New Roman;Times;serif"/>
          <w:sz w:val="20"/>
        </w:rPr>
        <w:t>This Agreement shall be governed by the laws of the State of North Carolina.</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9.3</w:t>
      </w:r>
      <w:r>
        <w:rPr>
          <w:rFonts w:ascii="Times New Roman;Times;serif" w:hAnsi="Times New Roman;Times;serif"/>
          <w:b/>
          <w:sz w:val="20"/>
        </w:rPr>
        <w:t xml:space="preserve">Assignment. </w:t>
      </w:r>
      <w:r>
        <w:rPr>
          <w:rFonts w:ascii="Times New Roman;Times;serif" w:hAnsi="Times New Roman;Times;serif"/>
          <w:sz w:val="20"/>
        </w:rPr>
        <w:t>Borrower will not assign its rights or delegate its duties under this Agreement without first obtaining the written consent of Lender. For purposes of this Agreement, an assignment includes, without limitation, a merger in which Lender is not the surviving entity; a consolidation involving Borrower; any amendment to Borrower’s Articles of Incorporation or Bylaws, issuance by Borrower or sale or other transfer by holders of shares or other equity interests in Borrower, or any other action that has the effect of transferring to a single entity or person the power to elect a majority of the Borrower’s Board of Directors.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9.4</w:t>
      </w:r>
      <w:r>
        <w:rPr>
          <w:rFonts w:ascii="Times New Roman;Times;serif" w:hAnsi="Times New Roman;Times;serif"/>
          <w:b/>
          <w:sz w:val="20"/>
        </w:rPr>
        <w:t xml:space="preserve">Waiver. </w:t>
      </w:r>
      <w:r>
        <w:rPr>
          <w:rFonts w:ascii="Times New Roman;Times;serif" w:hAnsi="Times New Roman;Times;serif"/>
          <w:sz w:val="20"/>
        </w:rPr>
        <w:t>Any waiver of the provisions of this Agreement or of Lender’s or Borrower’s rights or remedies under this Agreement must be in writing and signed by the waiving party to be effective. Failure, neglect, or delay by Lender at any time to enforce the provisions of this Agreement or its rights or remedies will not be construed as a waiver of its rights, powers, or remedies under this Agreement. Waiver of any breach or provision of this Agreement, including, without limitation, any Event of Default, will not be considered a waiver of any later breach or of the right to enforce any provision of this Agreement. Borrower waives diligence, presentment, protest, demand and notice of any kind.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9.5</w:t>
      </w:r>
      <w:r>
        <w:rPr>
          <w:rFonts w:ascii="Times New Roman;Times;serif" w:hAnsi="Times New Roman;Times;serif"/>
          <w:b/>
          <w:sz w:val="20"/>
        </w:rPr>
        <w:t xml:space="preserve">Severability. </w:t>
      </w:r>
      <w:r>
        <w:rPr>
          <w:rFonts w:ascii="Times New Roman;Times;serif" w:hAnsi="Times New Roman;Times;serif"/>
          <w:sz w:val="20"/>
        </w:rPr>
        <w:t>If any provision of this Agreement is held illegal, invalid, or unenforceable, all other provisions of this Agreement will nevertheless be effective, and the illegal, invalid, or unenforceable provision will be considered modified such that it is valid to the maximum extent permitted by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9.6</w:t>
      </w:r>
      <w:r>
        <w:rPr>
          <w:rFonts w:ascii="Times New Roman;Times;serif" w:hAnsi="Times New Roman;Times;serif"/>
          <w:b/>
          <w:sz w:val="20"/>
        </w:rPr>
        <w:t xml:space="preserve">Amendments. </w:t>
      </w:r>
      <w:r>
        <w:rPr>
          <w:rFonts w:ascii="Times New Roman;Times;serif" w:hAnsi="Times New Roman;Times;serif"/>
          <w:sz w:val="20"/>
        </w:rPr>
        <w:t>This Agreement may be amended only as stated in a written document signed by both Lender and Borrower which states that it is an amendment to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9.7</w:t>
      </w:r>
      <w:r>
        <w:rPr>
          <w:rFonts w:ascii="Times New Roman;Times;serif" w:hAnsi="Times New Roman;Times;serif"/>
          <w:b/>
          <w:sz w:val="20"/>
        </w:rPr>
        <w:t xml:space="preserve">Notices. </w:t>
      </w:r>
      <w:r>
        <w:rPr>
          <w:rFonts w:ascii="Times New Roman;Times;serif" w:hAnsi="Times New Roman;Times;serif"/>
          <w:sz w:val="20"/>
        </w:rPr>
        <w:t>Any notices, approvals, consents or other communications required to be given by either party pursuant to this Agreement shall be in writing and delivered by mail, courier, e-mail message, or fax to the addresses set out on the signature page. These addresses may be changed by written notice to the other party.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9.8</w:t>
      </w:r>
      <w:r>
        <w:rPr>
          <w:rFonts w:ascii="Times New Roman;Times;serif" w:hAnsi="Times New Roman;Times;serif"/>
          <w:b/>
          <w:sz w:val="20"/>
        </w:rPr>
        <w:t xml:space="preserve">Counterparts. </w:t>
      </w:r>
      <w:r>
        <w:rPr>
          <w:rFonts w:ascii="Times New Roman;Times;serif" w:hAnsi="Times New Roman;Times;serif"/>
          <w:sz w:val="20"/>
        </w:rPr>
        <w:t>This Agreement may be executed in one or more counterparts, each of which will be deemed an original and all of which will be taken together and deemed to be one instrument. Transmission by fax or PDF of executed counterparts will constitute effective delivery.</w:t>
      </w:r>
    </w:p>
    <w:p>
      <w:pPr>
        <w:pStyle w:val="TextBody"/>
        <w:bidi w:val="0"/>
        <w:spacing w:before="0" w:after="0"/>
        <w:ind w:left="72" w:right="0" w:hanging="0"/>
        <w:jc w:val="center"/>
        <w:rPr>
          <w:rFonts w:ascii="Times New Roman;Times;serif" w:hAnsi="Times New Roman;Times;serif"/>
          <w:sz w:val="20"/>
        </w:rPr>
      </w:pPr>
      <w:r>
        <w:rPr>
          <w:rFonts w:ascii="Times New Roman;Times;serif" w:hAnsi="Times New Roman;Times;serif"/>
          <w:sz w:val="20"/>
        </w:rPr>
        <w:t>* * * * * * * *</w:t>
      </w:r>
    </w:p>
    <w:p>
      <w:pPr>
        <w:pStyle w:val="TextBody"/>
        <w:bidi w:val="0"/>
        <w:spacing w:before="0" w:after="0"/>
        <w:ind w:left="72" w:right="0" w:hanging="0"/>
        <w:jc w:val="left"/>
        <w:rPr/>
      </w:pPr>
      <w:r>
        <w:rPr/>
        <w:t>​</w:t>
      </w:r>
    </w:p>
    <w:p>
      <w:pPr>
        <w:pStyle w:val="TextBody"/>
        <w:bidi w:val="0"/>
        <w:spacing w:before="0" w:after="0"/>
        <w:ind w:left="72" w:right="0" w:hanging="0"/>
        <w:jc w:val="center"/>
        <w:rPr>
          <w:rFonts w:ascii="Times New Roman;Times;serif" w:hAnsi="Times New Roman;Times;serif"/>
          <w:sz w:val="20"/>
        </w:rPr>
      </w:pPr>
      <w:r>
        <w:rPr>
          <w:rFonts w:ascii="Times New Roman;Times;serif" w:hAnsi="Times New Roman;Times;serif"/>
          <w:sz w:val="20"/>
        </w:rPr>
        <w:t>Lender and Borrower signed this Agreement as of the date set out in its first paragraph.</w:t>
      </w:r>
    </w:p>
    <w:p>
      <w:pPr>
        <w:pStyle w:val="TextBody"/>
        <w:bidi w:val="0"/>
        <w:spacing w:before="0" w:after="0"/>
        <w:ind w:left="72" w:right="0" w:hanging="0"/>
        <w:jc w:val="left"/>
        <w:rPr/>
      </w:pPr>
      <w:r>
        <w:rPr/>
        <w:t>​</w:t>
      </w:r>
    </w:p>
    <w:tbl>
      <w:tblPr>
        <w:tblW w:w="5410" w:type="dxa"/>
        <w:jc w:val="left"/>
        <w:tblInd w:w="0" w:type="dxa"/>
        <w:tblLayout w:type="fixed"/>
        <w:tblCellMar>
          <w:top w:w="0" w:type="dxa"/>
          <w:left w:w="0" w:type="dxa"/>
          <w:bottom w:w="0" w:type="dxa"/>
          <w:right w:w="0" w:type="dxa"/>
        </w:tblCellMar>
      </w:tblPr>
      <w:tblGrid>
        <w:gridCol w:w="124"/>
        <w:gridCol w:w="5286"/>
      </w:tblGrid>
      <w:tr>
        <w:trPr/>
        <w:tc>
          <w:tcPr>
            <w:tcW w:w="124" w:type="dxa"/>
            <w:tcBorders/>
            <w:vAlign w:val="center"/>
          </w:tcPr>
          <w:p>
            <w:pPr>
              <w:pStyle w:val="TableContents"/>
              <w:bidi w:val="0"/>
              <w:spacing w:before="0" w:after="0"/>
              <w:ind w:left="0" w:right="0" w:hanging="0"/>
              <w:jc w:val="left"/>
              <w:rPr/>
            </w:pPr>
            <w:r>
              <w:rPr/>
              <w:t>​</w:t>
            </w:r>
          </w:p>
        </w:tc>
        <w:tc>
          <w:tcPr>
            <w:tcW w:w="528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286" w:type="dxa"/>
            <w:tcBorders/>
            <w:vAlign w:val="center"/>
          </w:tcPr>
          <w:p>
            <w:pPr>
              <w:pStyle w:val="TableContents"/>
              <w:bidi w:val="0"/>
              <w:spacing w:before="0" w:after="0"/>
              <w:ind w:left="0" w:right="0" w:hanging="0"/>
              <w:jc w:val="left"/>
              <w:rPr/>
            </w:pPr>
            <w:r>
              <w:rPr/>
              <w:drawing>
                <wp:inline distT="0" distB="0" distL="0" distR="0">
                  <wp:extent cx="3273425" cy="3228340"/>
                  <wp:effectExtent l="0" t="0" r="0" b="0"/>
                  <wp:docPr id="64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 name="Image1" descr=""/>
                          <pic:cNvPicPr>
                            <a:picLocks noChangeAspect="1" noChangeArrowheads="1"/>
                          </pic:cNvPicPr>
                        </pic:nvPicPr>
                        <pic:blipFill>
                          <a:blip r:embed="rId16"/>
                          <a:stretch>
                            <a:fillRect/>
                          </a:stretch>
                        </pic:blipFill>
                        <pic:spPr bwMode="auto">
                          <a:xfrm>
                            <a:off x="0" y="0"/>
                            <a:ext cx="3273425" cy="3228340"/>
                          </a:xfrm>
                          <a:prstGeom prst="rect">
                            <a:avLst/>
                          </a:prstGeom>
                        </pic:spPr>
                      </pic:pic>
                    </a:graphicData>
                  </a:graphic>
                </wp:inline>
              </w:drawing>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1435" w:name="ctnt-20260630xex10d11.htm"/>
      <w:bookmarkStart w:id="1436" w:name="ksctnt20260630xex10d11"/>
      <w:bookmarkEnd w:id="1435"/>
      <w:bookmarkEnd w:id="1436"/>
      <w:r>
        <w:rPr/>
        <w:t>​</w:t>
      </w:r>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10.11</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LOAN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THIS LOAN AGREEMENT </w:t>
      </w:r>
      <w:r>
        <w:rPr>
          <w:rFonts w:ascii="Times New Roman;Times;serif" w:hAnsi="Times New Roman;Times;serif"/>
          <w:sz w:val="20"/>
        </w:rPr>
        <w:t>(“Agreement”) is entered into as of May 21, 2026, by and between Cheetah Net Supply Chain Service Inc., a North Carolina corporation (“Lender”), and Hongkong Sanyou Petroleum Co Limited. (“Borrower”).</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RECITALS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Borrower desires to borrow from Lender, and Lender agrees to loan to Borrower, the Loan amounts described below.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NOW, THEREFORE, Lender and Borrower agree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b/>
          <w:sz w:val="20"/>
        </w:rPr>
        <w:t>LOAN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1.1</w:t>
      </w:r>
      <w:r>
        <w:rPr>
          <w:rFonts w:ascii="Times New Roman;Times;serif" w:hAnsi="Times New Roman;Times;serif"/>
          <w:b/>
          <w:sz w:val="20"/>
        </w:rPr>
        <w:t xml:space="preserve">Loan. </w:t>
      </w:r>
      <w:r>
        <w:rPr>
          <w:rFonts w:ascii="Times New Roman;Times;serif" w:hAnsi="Times New Roman;Times;serif"/>
          <w:sz w:val="20"/>
        </w:rPr>
        <w:t>Lender agrees to lend to Borrower and Borrower agrees to borrow from Lender the principal amount of Four Million Dollars ($4,000,000) (the “Loan”).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1.2</w:t>
      </w:r>
      <w:r>
        <w:rPr>
          <w:rFonts w:ascii="Times New Roman;Times;serif" w:hAnsi="Times New Roman;Times;serif"/>
          <w:b/>
          <w:sz w:val="20"/>
        </w:rPr>
        <w:t xml:space="preserve">Interest. </w:t>
      </w:r>
      <w:r>
        <w:rPr>
          <w:rFonts w:ascii="Times New Roman;Times;serif" w:hAnsi="Times New Roman;Times;serif"/>
          <w:sz w:val="20"/>
        </w:rPr>
        <w:t>Except as provided in Section 1.4, the Loan shall bear interest at an annual rate of 5%, calculated on the basis of a 360-day year for the actual number of days for which interest is calculated.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1.3</w:t>
      </w:r>
      <w:r>
        <w:rPr>
          <w:rFonts w:ascii="Times New Roman;Times;serif" w:hAnsi="Times New Roman;Times;serif"/>
          <w:b/>
          <w:sz w:val="20"/>
        </w:rPr>
        <w:t>Term and Payment Schedule.</w:t>
      </w:r>
    </w:p>
    <w:tbl>
      <w:tblPr>
        <w:tblW w:w="10143" w:type="dxa"/>
        <w:jc w:val="left"/>
        <w:tblInd w:w="0" w:type="dxa"/>
        <w:tblLayout w:type="fixed"/>
        <w:tblCellMar>
          <w:top w:w="0" w:type="dxa"/>
          <w:left w:w="0" w:type="dxa"/>
          <w:bottom w:w="0" w:type="dxa"/>
          <w:right w:w="0" w:type="dxa"/>
        </w:tblCellMar>
      </w:tblPr>
      <w:tblGrid>
        <w:gridCol w:w="23"/>
        <w:gridCol w:w="185"/>
        <w:gridCol w:w="993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a)</w:t>
            </w:r>
          </w:p>
        </w:tc>
        <w:tc>
          <w:tcPr>
            <w:tcW w:w="99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 xml:space="preserve">Term: </w:t>
            </w:r>
            <w:r>
              <w:rPr>
                <w:rFonts w:ascii="Times New Roman;Times;serif" w:hAnsi="Times New Roman;Times;serif"/>
                <w:sz w:val="20"/>
              </w:rPr>
              <w:t>The initial term of the Loan shall be twelve (12) months from the date of disbursement (the “Initial Maturity Date”).</w:t>
            </w:r>
          </w:p>
        </w:tc>
      </w:tr>
    </w:tbl>
    <w:tbl>
      <w:tblPr>
        <w:tblW w:w="10205" w:type="dxa"/>
        <w:jc w:val="left"/>
        <w:tblInd w:w="0" w:type="dxa"/>
        <w:tblLayout w:type="fixed"/>
        <w:tblCellMar>
          <w:top w:w="0" w:type="dxa"/>
          <w:left w:w="0" w:type="dxa"/>
          <w:bottom w:w="0" w:type="dxa"/>
          <w:right w:w="0" w:type="dxa"/>
        </w:tblCellMar>
      </w:tblPr>
      <w:tblGrid>
        <w:gridCol w:w="23"/>
        <w:gridCol w:w="154"/>
        <w:gridCol w:w="10028"/>
      </w:tblGrid>
      <w:tr>
        <w:trPr/>
        <w:tc>
          <w:tcPr>
            <w:tcW w:w="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b)</w:t>
            </w:r>
          </w:p>
        </w:tc>
        <w:tc>
          <w:tcPr>
            <w:tcW w:w="1002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b/>
                <w:sz w:val="20"/>
              </w:rPr>
              <w:t xml:space="preserve">Interest Payments: </w:t>
            </w:r>
            <w:r>
              <w:rPr>
                <w:rFonts w:ascii="Times New Roman;Times;serif" w:hAnsi="Times New Roman;Times;serif"/>
                <w:sz w:val="20"/>
              </w:rPr>
              <w:t>Borrower shall pay interest semi-annually. The first interest payment shall be due and payable on the date six (6) months after the disbursement, and the second interest payment shall be due on the Initial Maturity Date.</w:t>
            </w:r>
          </w:p>
        </w:tc>
      </w:tr>
    </w:tbl>
    <w:tbl>
      <w:tblPr>
        <w:tblW w:w="10205" w:type="dxa"/>
        <w:jc w:val="left"/>
        <w:tblInd w:w="0" w:type="dxa"/>
        <w:tblLayout w:type="fixed"/>
        <w:tblCellMar>
          <w:top w:w="0" w:type="dxa"/>
          <w:left w:w="0" w:type="dxa"/>
          <w:bottom w:w="0" w:type="dxa"/>
          <w:right w:w="0" w:type="dxa"/>
        </w:tblCellMar>
      </w:tblPr>
      <w:tblGrid>
        <w:gridCol w:w="23"/>
        <w:gridCol w:w="158"/>
        <w:gridCol w:w="10024"/>
      </w:tblGrid>
      <w:tr>
        <w:trPr/>
        <w:tc>
          <w:tcPr>
            <w:tcW w:w="2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w:t>
            </w:r>
          </w:p>
        </w:tc>
        <w:tc>
          <w:tcPr>
            <w:tcW w:w="1002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 xml:space="preserve">Principal Repayment: </w:t>
            </w:r>
            <w:r>
              <w:rPr>
                <w:rFonts w:ascii="Times New Roman;Times;serif" w:hAnsi="Times New Roman;Times;serif"/>
                <w:sz w:val="20"/>
              </w:rPr>
              <w:t>Subject to Section 1.3(d), the Borrower shall repay the entire unpaid principal amount of the Loan on the Initial Maturity Date.</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b/>
                <w:sz w:val="20"/>
              </w:rPr>
              <w:t xml:space="preserve">Extension Option: </w:t>
            </w:r>
            <w:r>
              <w:rPr>
                <w:rFonts w:ascii="Times New Roman;Times;serif" w:hAnsi="Times New Roman;Times;serif"/>
                <w:sz w:val="20"/>
              </w:rPr>
              <w:t>Borrower shall have the option to extend the Maturity Date for an additional twelve (12) months (the “Extended Maturity Date”) by providing written notice to Lender at least thirty (30) days prior to the Initial Maturity Date. During the extension period, interest shall continue to be paid semi-annually at the rate specified in Section 1.2.</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1.4</w:t>
      </w:r>
      <w:r>
        <w:rPr>
          <w:rFonts w:ascii="Times New Roman;Times;serif" w:hAnsi="Times New Roman;Times;serif"/>
          <w:b/>
          <w:sz w:val="20"/>
        </w:rPr>
        <w:t xml:space="preserve">Overdue Payments. </w:t>
      </w:r>
      <w:r>
        <w:rPr>
          <w:rFonts w:ascii="Times New Roman;Times;serif" w:hAnsi="Times New Roman;Times;serif"/>
          <w:sz w:val="20"/>
        </w:rPr>
        <w:t>Any overdue payments or unpaid portions of such payments under this Loan shall bear interest, payable on demand, at an annual rate of 7.5%, until repaid by Borrower; provided, however, that the aggregate rate of interest shall not exceed the maximum permissible interest rate under applicable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1.5</w:t>
      </w:r>
      <w:r>
        <w:rPr>
          <w:rFonts w:ascii="Times New Roman;Times;serif" w:hAnsi="Times New Roman;Times;serif"/>
          <w:b/>
          <w:sz w:val="20"/>
        </w:rPr>
        <w:t xml:space="preserve">Disbursement by Lender. </w:t>
      </w:r>
      <w:r>
        <w:rPr>
          <w:rFonts w:ascii="Times New Roman;Times;serif" w:hAnsi="Times New Roman;Times;serif"/>
          <w:sz w:val="20"/>
        </w:rPr>
        <w:t>Lender will pay the Loan to Borrower via wire transfer to the following account at such time after the execution of this Agreement as Lender in its sole discretion may determine.</w:t>
      </w:r>
    </w:p>
    <w:p>
      <w:pPr>
        <w:pStyle w:val="TextBody"/>
        <w:bidi w:val="0"/>
        <w:spacing w:before="0" w:after="0"/>
        <w:ind w:left="576" w:right="0" w:hanging="0"/>
        <w:jc w:val="left"/>
        <w:rPr>
          <w:rFonts w:ascii="Times New Roman;Times;serif" w:hAnsi="Times New Roman;Times;serif"/>
          <w:sz w:val="20"/>
        </w:rPr>
      </w:pPr>
      <w:r>
        <w:rPr>
          <w:rFonts w:ascii="Times New Roman;Times;serif" w:hAnsi="Times New Roman;Times;serif"/>
          <w:sz w:val="20"/>
        </w:rPr>
        <w:t>Beneficiary Bank</w:t>
      </w:r>
    </w:p>
    <w:p>
      <w:pPr>
        <w:pStyle w:val="TextBody"/>
        <w:bidi w:val="0"/>
        <w:spacing w:before="0" w:after="240"/>
        <w:ind w:left="576" w:right="0" w:hanging="0"/>
        <w:jc w:val="left"/>
        <w:rPr>
          <w:rFonts w:ascii="Times New Roman;Times;serif" w:hAnsi="Times New Roman;Times;serif"/>
          <w:sz w:val="20"/>
        </w:rPr>
      </w:pPr>
      <w:r>
        <w:rPr>
          <w:rFonts w:ascii="Times New Roman;Times;serif" w:hAnsi="Times New Roman;Times;serif"/>
          <w:sz w:val="20"/>
        </w:rPr>
        <w:t xml:space="preserve">SWIFT Code# </w:t>
        <w:br/>
        <w:t xml:space="preserve">Bank Name: </w:t>
        <w:br/>
        <w:t>Address:</w:t>
      </w:r>
    </w:p>
    <w:p>
      <w:pPr>
        <w:pStyle w:val="TextBody"/>
        <w:bidi w:val="0"/>
        <w:spacing w:before="0" w:after="240"/>
        <w:ind w:left="576" w:right="0" w:hanging="0"/>
        <w:jc w:val="left"/>
        <w:rPr>
          <w:rFonts w:ascii="Times New Roman;Times;serif" w:hAnsi="Times New Roman;Times;serif"/>
          <w:sz w:val="20"/>
        </w:rPr>
      </w:pPr>
      <w:r>
        <w:rPr>
          <w:rFonts w:ascii="Times New Roman;Times;serif" w:hAnsi="Times New Roman;Times;serif"/>
          <w:sz w:val="20"/>
        </w:rPr>
        <w:t xml:space="preserve">Beneficiary Party </w:t>
        <w:br/>
        <w:t>Name:</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sz w:val="20"/>
        </w:rPr>
        <w:t xml:space="preserve">Physical Address: </w:t>
        <w:br/>
        <w:t>Account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1.6</w:t>
      </w:r>
      <w:r>
        <w:rPr>
          <w:rFonts w:ascii="Times New Roman;Times;serif" w:hAnsi="Times New Roman;Times;serif"/>
          <w:b/>
          <w:sz w:val="20"/>
        </w:rPr>
        <w:t xml:space="preserve">Payments by Borrower. </w:t>
      </w:r>
      <w:r>
        <w:rPr>
          <w:rFonts w:ascii="Times New Roman;Times;serif" w:hAnsi="Times New Roman;Times;serif"/>
          <w:sz w:val="20"/>
        </w:rPr>
        <w:t>Borrower shall make payments to Lender via wire transfer to an account specified by Lender.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1.7</w:t>
      </w:r>
      <w:r>
        <w:rPr>
          <w:rFonts w:ascii="Times New Roman;Times;serif" w:hAnsi="Times New Roman;Times;serif"/>
          <w:b/>
          <w:sz w:val="20"/>
        </w:rPr>
        <w:t xml:space="preserve">Computations and Records. </w:t>
      </w:r>
      <w:r>
        <w:rPr>
          <w:rFonts w:ascii="Times New Roman;Times;serif" w:hAnsi="Times New Roman;Times;serif"/>
          <w:sz w:val="20"/>
        </w:rPr>
        <w:t>Lender shall record the date and amount of each payment by Borrower, and the resulting balance of the Loan. Borrower acknowledges and agrees that Lender’s books and records relating to the transactions of this Agreement, including, without limitation, interest computations, shall be deemed correct, accurate and binding on Borrower.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REPRESENTATIONS AND WARRANTIES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Borrower represents and warrants to Lender the following: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2.1</w:t>
      </w:r>
      <w:r>
        <w:rPr>
          <w:rFonts w:ascii="Times New Roman;Times;serif" w:hAnsi="Times New Roman;Times;serif"/>
          <w:b/>
          <w:sz w:val="20"/>
        </w:rPr>
        <w:t xml:space="preserve">Due Organization and Qualification. </w:t>
      </w:r>
      <w:r>
        <w:rPr>
          <w:rFonts w:ascii="Times New Roman;Times;serif" w:hAnsi="Times New Roman;Times;serif"/>
          <w:sz w:val="20"/>
        </w:rPr>
        <w:t>Borrower is a corporation duly organized, validly existing, and in good standing under the laws of the state in which it is incorporated.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2.2</w:t>
      </w:r>
      <w:r>
        <w:rPr>
          <w:rFonts w:ascii="Times New Roman;Times;serif" w:hAnsi="Times New Roman;Times;serif"/>
          <w:b/>
          <w:sz w:val="20"/>
        </w:rPr>
        <w:t xml:space="preserve">Due Authorization; No Conflict. </w:t>
      </w:r>
      <w:r>
        <w:rPr>
          <w:rFonts w:ascii="Times New Roman;Times;serif" w:hAnsi="Times New Roman;Times;serif"/>
          <w:sz w:val="20"/>
        </w:rPr>
        <w:t>The execution, delivery, and performance of the Agreement is within Borrower’s corporate powers, has been authorized by Borrower’s Board of Directors, will not conflict with or breach any provision of Borrower’s Articles of Incorporation or Bylaws, and will not create or result in a breach or default under any contract or any law, regulation, or order by which Borrower is bound.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2.3</w:t>
      </w:r>
      <w:r>
        <w:rPr>
          <w:rFonts w:ascii="Times New Roman;Times;serif" w:hAnsi="Times New Roman;Times;serif"/>
          <w:b/>
          <w:sz w:val="20"/>
        </w:rPr>
        <w:t xml:space="preserve">Enforceable Agreement. </w:t>
      </w:r>
      <w:r>
        <w:rPr>
          <w:rFonts w:ascii="Times New Roman;Times;serif" w:hAnsi="Times New Roman;Times;serif"/>
          <w:sz w:val="20"/>
        </w:rPr>
        <w:t>This Agreement has been duly executed and delivered by Borrower and is the legal, valid, and binding obligation of Borrower, enforceable against it in accordance with its terms.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2.4</w:t>
      </w:r>
      <w:r>
        <w:rPr>
          <w:rFonts w:ascii="Times New Roman;Times;serif" w:hAnsi="Times New Roman;Times;serif"/>
          <w:b/>
          <w:sz w:val="20"/>
        </w:rPr>
        <w:t xml:space="preserve">Compliance with Law. </w:t>
      </w:r>
      <w:r>
        <w:rPr>
          <w:rFonts w:ascii="Times New Roman;Times;serif" w:hAnsi="Times New Roman;Times;serif"/>
          <w:sz w:val="20"/>
        </w:rPr>
        <w:t>Borrower is not in violation of any law, regulation, order or agreement, the consequences of which could reasonably be expected to have a material adverse effect on Borrower.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AFFIRMATIVE COVENANTS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3.1</w:t>
      </w:r>
      <w:r>
        <w:rPr>
          <w:rFonts w:ascii="Times New Roman;Times;serif" w:hAnsi="Times New Roman;Times;serif"/>
          <w:b/>
          <w:sz w:val="20"/>
        </w:rPr>
        <w:t xml:space="preserve">Good Standing. </w:t>
      </w:r>
      <w:r>
        <w:rPr>
          <w:rFonts w:ascii="Times New Roman;Times;serif" w:hAnsi="Times New Roman;Times;serif"/>
          <w:sz w:val="20"/>
        </w:rPr>
        <w:t>Borrower shall remain in good standing as a corporation in the jurisdiction of its incorporation.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3.2</w:t>
      </w:r>
      <w:r>
        <w:rPr>
          <w:rFonts w:ascii="Times New Roman;Times;serif" w:hAnsi="Times New Roman;Times;serif"/>
          <w:b/>
          <w:sz w:val="20"/>
        </w:rPr>
        <w:t xml:space="preserve">Compliance with Law. </w:t>
      </w:r>
      <w:r>
        <w:rPr>
          <w:rFonts w:ascii="Times New Roman;Times;serif" w:hAnsi="Times New Roman;Times;serif"/>
          <w:sz w:val="20"/>
        </w:rPr>
        <w:t>Borrower shall comply with all laws, regulations, and orders applicable to 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3.3</w:t>
      </w:r>
      <w:r>
        <w:rPr>
          <w:rFonts w:ascii="Times New Roman;Times;serif" w:hAnsi="Times New Roman;Times;serif"/>
          <w:b/>
          <w:sz w:val="20"/>
        </w:rPr>
        <w:t xml:space="preserve">Maintenance of Property. </w:t>
      </w:r>
      <w:r>
        <w:rPr>
          <w:rFonts w:ascii="Times New Roman;Times;serif" w:hAnsi="Times New Roman;Times;serif"/>
          <w:sz w:val="20"/>
        </w:rPr>
        <w:t>Borrower shall maintain all of its property necessary and useful in the conduct of its business in good operating condition and repair, ordinary wear and tear excepted.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3.4</w:t>
      </w:r>
      <w:r>
        <w:rPr>
          <w:rFonts w:ascii="Times New Roman;Times;serif" w:hAnsi="Times New Roman;Times;serif"/>
          <w:b/>
          <w:sz w:val="20"/>
        </w:rPr>
        <w:t xml:space="preserve">Insurance. </w:t>
      </w:r>
      <w:r>
        <w:rPr>
          <w:rFonts w:ascii="Times New Roman;Times;serif" w:hAnsi="Times New Roman;Times;serif"/>
          <w:sz w:val="20"/>
        </w:rPr>
        <w:t>Borrower shall maintain and keep in force insurance of the types and amounts customarily carried in its line of business, including, without limitation, fire, public liability, property damage and workers’ compensation.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w:t>
      </w:r>
      <w:r>
        <w:rPr>
          <w:rFonts w:ascii="Times New Roman;Times;serif" w:hAnsi="Times New Roman;Times;serif"/>
          <w:b/>
          <w:sz w:val="20"/>
        </w:rPr>
        <w:t>REPORTING COVENANTS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4.1</w:t>
      </w:r>
      <w:r>
        <w:rPr>
          <w:rFonts w:ascii="Times New Roman;Times;serif" w:hAnsi="Times New Roman;Times;serif"/>
          <w:b/>
          <w:sz w:val="20"/>
        </w:rPr>
        <w:t xml:space="preserve">Notice to Lender. </w:t>
      </w:r>
      <w:r>
        <w:rPr>
          <w:rFonts w:ascii="Times New Roman;Times;serif" w:hAnsi="Times New Roman;Times;serif"/>
          <w:sz w:val="20"/>
        </w:rPr>
        <w:t>Borrower shall promptly notify Lender of:</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6198" w:type="dxa"/>
        <w:jc w:val="left"/>
        <w:tblInd w:w="0" w:type="dxa"/>
        <w:tblLayout w:type="fixed"/>
        <w:tblCellMar>
          <w:top w:w="0" w:type="dxa"/>
          <w:left w:w="0" w:type="dxa"/>
          <w:bottom w:w="0" w:type="dxa"/>
          <w:right w:w="0" w:type="dxa"/>
        </w:tblCellMar>
      </w:tblPr>
      <w:tblGrid>
        <w:gridCol w:w="23"/>
        <w:gridCol w:w="200"/>
        <w:gridCol w:w="597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59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material change to Borrower’s fmancial condition or corporate status;</w:t>
            </w:r>
          </w:p>
        </w:tc>
      </w:tr>
    </w:tbl>
    <w:tbl>
      <w:tblPr>
        <w:tblW w:w="10205" w:type="dxa"/>
        <w:jc w:val="left"/>
        <w:tblInd w:w="0" w:type="dxa"/>
        <w:tblLayout w:type="fixed"/>
        <w:tblCellMar>
          <w:top w:w="0" w:type="dxa"/>
          <w:left w:w="0" w:type="dxa"/>
          <w:bottom w:w="0" w:type="dxa"/>
          <w:right w:w="0" w:type="dxa"/>
        </w:tblCellMar>
      </w:tblPr>
      <w:tblGrid>
        <w:gridCol w:w="23"/>
        <w:gridCol w:w="239"/>
        <w:gridCol w:w="9943"/>
      </w:tblGrid>
      <w:tr>
        <w:trPr/>
        <w:tc>
          <w:tcPr>
            <w:tcW w:w="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w:t>
            </w:r>
          </w:p>
        </w:tc>
        <w:tc>
          <w:tcPr>
            <w:tcW w:w="99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legal or regulatory action, proceeding or investigation threatened or instituted against Borrower that could reasonably be expected to have a material adverse effect on Borrower;</w:t>
            </w:r>
          </w:p>
        </w:tc>
      </w:tr>
    </w:tbl>
    <w:tbl>
      <w:tblPr>
        <w:tblW w:w="6948" w:type="dxa"/>
        <w:jc w:val="left"/>
        <w:tblInd w:w="0" w:type="dxa"/>
        <w:tblLayout w:type="fixed"/>
        <w:tblCellMar>
          <w:top w:w="0" w:type="dxa"/>
          <w:left w:w="0" w:type="dxa"/>
          <w:bottom w:w="0" w:type="dxa"/>
          <w:right w:w="0" w:type="dxa"/>
        </w:tblCellMar>
      </w:tblPr>
      <w:tblGrid>
        <w:gridCol w:w="23"/>
        <w:gridCol w:w="320"/>
        <w:gridCol w:w="660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(iii)</w:t>
            </w:r>
          </w:p>
        </w:tc>
        <w:tc>
          <w:tcPr>
            <w:tcW w:w="660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substantial damage to or destruction of Borrower’s business facilities or premises;</w:t>
            </w:r>
          </w:p>
        </w:tc>
      </w:tr>
    </w:tbl>
    <w:tbl>
      <w:tblPr>
        <w:tblW w:w="9933" w:type="dxa"/>
        <w:jc w:val="left"/>
        <w:tblInd w:w="0" w:type="dxa"/>
        <w:tblLayout w:type="fixed"/>
        <w:tblCellMar>
          <w:top w:w="0" w:type="dxa"/>
          <w:left w:w="0" w:type="dxa"/>
          <w:bottom w:w="0" w:type="dxa"/>
          <w:right w:w="0" w:type="dxa"/>
        </w:tblCellMar>
      </w:tblPr>
      <w:tblGrid>
        <w:gridCol w:w="23"/>
        <w:gridCol w:w="305"/>
        <w:gridCol w:w="9605"/>
      </w:tblGrid>
      <w:tr>
        <w:trPr/>
        <w:tc>
          <w:tcPr>
            <w:tcW w:w="2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(iv)</w:t>
            </w:r>
          </w:p>
        </w:tc>
        <w:tc>
          <w:tcPr>
            <w:tcW w:w="960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any event of default under this Agreement, or any event that with lapse of time would constitute an event of default; or</w:t>
            </w:r>
          </w:p>
        </w:tc>
      </w:tr>
    </w:tbl>
    <w:tbl>
      <w:tblPr>
        <w:tblW w:w="7083" w:type="dxa"/>
        <w:jc w:val="left"/>
        <w:tblInd w:w="0" w:type="dxa"/>
        <w:tblLayout w:type="fixed"/>
        <w:tblCellMar>
          <w:top w:w="0" w:type="dxa"/>
          <w:left w:w="0" w:type="dxa"/>
          <w:bottom w:w="0" w:type="dxa"/>
          <w:right w:w="0" w:type="dxa"/>
        </w:tblCellMar>
      </w:tblPr>
      <w:tblGrid>
        <w:gridCol w:w="23"/>
        <w:gridCol w:w="245"/>
        <w:gridCol w:w="681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(v)</w:t>
            </w:r>
          </w:p>
        </w:tc>
        <w:tc>
          <w:tcPr>
            <w:tcW w:w="681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any other development that has or could have a material adverse effect on Borrower.</w:t>
            </w:r>
          </w:p>
        </w:tc>
      </w:tr>
    </w:tbl>
    <w:p>
      <w:pPr>
        <w:pStyle w:val="TextBody"/>
        <w:bidi w:val="0"/>
        <w:spacing w:before="0" w:after="240"/>
        <w:ind w:left="72"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w:t>
      </w:r>
      <w:r>
        <w:rPr>
          <w:rFonts w:ascii="Times New Roman;Times;serif" w:hAnsi="Times New Roman;Times;serif"/>
          <w:b/>
          <w:sz w:val="20"/>
        </w:rPr>
        <w:t>NEGATIVE COVENANTS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5.1</w:t>
      </w:r>
      <w:r>
        <w:rPr>
          <w:rFonts w:ascii="Times New Roman;Times;serif" w:hAnsi="Times New Roman;Times;serif"/>
          <w:b/>
          <w:sz w:val="20"/>
        </w:rPr>
        <w:t xml:space="preserve">Additional Debt. </w:t>
      </w:r>
      <w:r>
        <w:rPr>
          <w:rFonts w:ascii="Times New Roman;Times;serif" w:hAnsi="Times New Roman;Times;serif"/>
          <w:sz w:val="20"/>
        </w:rPr>
        <w:t>Borrower shall not borrow money from other parties without first disclosing the proposed borrowing to Lender.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5.2</w:t>
      </w:r>
      <w:r>
        <w:rPr>
          <w:rFonts w:ascii="Times New Roman;Times;serif" w:hAnsi="Times New Roman;Times;serif"/>
          <w:b/>
          <w:sz w:val="20"/>
        </w:rPr>
        <w:t xml:space="preserve">Liens. </w:t>
      </w:r>
      <w:r>
        <w:rPr>
          <w:rFonts w:ascii="Times New Roman;Times;serif" w:hAnsi="Times New Roman;Times;serif"/>
          <w:sz w:val="20"/>
        </w:rPr>
        <w:t>Borrower shall not create, assume, or allow any security interest or lien on property that Borrower now or later owns except: (i) liens and security interests in favor of Lender; (ii) liens for taxes not yet due; (iii) liens outstanding on the date of this Agreement disclosed in writing to Lender; (iv) liens arising by operation of law; and (v) liens arising in the ordinary course of Borrower’s business securing amounts Borrower owes in the operation of its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5.3</w:t>
      </w:r>
      <w:r>
        <w:rPr>
          <w:rFonts w:ascii="Times New Roman;Times;serif" w:hAnsi="Times New Roman;Times;serif"/>
          <w:b/>
          <w:sz w:val="20"/>
        </w:rPr>
        <w:t xml:space="preserve">Sale of Assets; Change of Control; Mergers. </w:t>
      </w:r>
      <w:r>
        <w:rPr>
          <w:rFonts w:ascii="Times New Roman;Times;serif" w:hAnsi="Times New Roman;Times;serif"/>
          <w:sz w:val="20"/>
        </w:rPr>
        <w:t>Borrower shall not, without Lender’s prior written consent: (i) sell, lease, transfer or dispose of substantially all of its assets to another entity; (ii) issue equity which would result in a change of control of Borrower; or (iii) consolidate with or merge into another entity, permit any other entity to merge into it or consolidate with 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5.4</w:t>
      </w:r>
      <w:r>
        <w:rPr>
          <w:rFonts w:ascii="Times New Roman;Times;serif" w:hAnsi="Times New Roman;Times;serif"/>
          <w:b/>
          <w:sz w:val="20"/>
        </w:rPr>
        <w:t xml:space="preserve">Changes in Nature of Business. </w:t>
      </w:r>
      <w:r>
        <w:rPr>
          <w:rFonts w:ascii="Times New Roman;Times;serif" w:hAnsi="Times New Roman;Times;serif"/>
          <w:sz w:val="20"/>
        </w:rPr>
        <w:t>Borrower shall not, directly or indirectly, engage in any business not related or incidental to the business conducted by Borrower on the date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w:t>
      </w:r>
      <w:r>
        <w:rPr>
          <w:rFonts w:ascii="Times New Roman;Times;serif" w:hAnsi="Times New Roman;Times;serif"/>
          <w:b/>
          <w:sz w:val="20"/>
        </w:rPr>
        <w:t>EVENTS OF DEFAULT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Any one or more of the following events shall constitute an Event of Default: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6.1</w:t>
      </w:r>
      <w:r>
        <w:rPr>
          <w:rFonts w:ascii="Times New Roman;Times;serif" w:hAnsi="Times New Roman;Times;serif"/>
          <w:b/>
          <w:sz w:val="20"/>
        </w:rPr>
        <w:t xml:space="preserve">Payment Default. </w:t>
      </w:r>
      <w:r>
        <w:rPr>
          <w:rFonts w:ascii="Times New Roman;Times;serif" w:hAnsi="Times New Roman;Times;serif"/>
          <w:sz w:val="20"/>
        </w:rPr>
        <w:t>Borrower fails to make any interest or principal payment or payment of any other obligation under this Agreement after it is due.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6.2</w:t>
      </w:r>
      <w:r>
        <w:rPr>
          <w:rFonts w:ascii="Times New Roman;Times;serif" w:hAnsi="Times New Roman;Times;serif"/>
          <w:b/>
          <w:sz w:val="20"/>
        </w:rPr>
        <w:t xml:space="preserve">Misrepresentations. </w:t>
      </w:r>
      <w:r>
        <w:rPr>
          <w:rFonts w:ascii="Times New Roman;Times;serif" w:hAnsi="Times New Roman;Times;serif"/>
          <w:sz w:val="20"/>
        </w:rPr>
        <w:t>Any representation or warranty or statement made by Borrower in this Agreement or in any fmancial statement, report or certificate furnished by Borrower to Lender under this Agreement proves to be untrue in any material respect as of the date on which the representation or statement was made.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6.3</w:t>
      </w:r>
      <w:r>
        <w:rPr>
          <w:rFonts w:ascii="Times New Roman;Times;serif" w:hAnsi="Times New Roman;Times;serif"/>
          <w:b/>
          <w:sz w:val="20"/>
        </w:rPr>
        <w:t xml:space="preserve">Covenants. </w:t>
      </w:r>
      <w:r>
        <w:rPr>
          <w:rFonts w:ascii="Times New Roman;Times;serif" w:hAnsi="Times New Roman;Times;serif"/>
          <w:sz w:val="20"/>
        </w:rPr>
        <w:t>Borrower fails to perform or observe any covenants or any other material provision of this Agreement, aside from payment, and such failure continues for 15 days.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6.4</w:t>
      </w:r>
      <w:r>
        <w:rPr>
          <w:rFonts w:ascii="Times New Roman;Times;serif" w:hAnsi="Times New Roman;Times;serif"/>
          <w:b/>
          <w:sz w:val="20"/>
        </w:rPr>
        <w:t xml:space="preserve">Insolvency. </w:t>
      </w:r>
      <w:r>
        <w:rPr>
          <w:rFonts w:ascii="Times New Roman;Times;serif" w:hAnsi="Times New Roman;Times;serif"/>
          <w:sz w:val="20"/>
        </w:rPr>
        <w:t>Borrower becomes insolvent, or an insolvency proceeding is commenced by Borrower or commenced against Borrower and is not dismissed or stayed within 30 days. “Insolvency proceeding” means any proceeding commenced by or against any person or entity under any provision of the United States Bankruptcy Code, as amended, or under any other bankruptcy or insolvency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6.5</w:t>
      </w:r>
      <w:r>
        <w:rPr>
          <w:rFonts w:ascii="Times New Roman;Times;serif" w:hAnsi="Times New Roman;Times;serif"/>
          <w:b/>
          <w:sz w:val="20"/>
        </w:rPr>
        <w:t xml:space="preserve">Other Agreements. </w:t>
      </w:r>
      <w:r>
        <w:rPr>
          <w:rFonts w:ascii="Times New Roman;Times;serif" w:hAnsi="Times New Roman;Times;serif"/>
          <w:sz w:val="20"/>
        </w:rPr>
        <w:t>There is a default or other failure to perform by Borrower under any agreement to which Borrower is a party resulting in a third-party right, whether or not exercised, to</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accelerate the maturity of any indebtedness in an amount in excess of $4,000,000 or that would reasonably be expected to have a material adverse effect on Borrower.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6.6</w:t>
      </w:r>
      <w:r>
        <w:rPr>
          <w:rFonts w:ascii="Times New Roman;Times;serif" w:hAnsi="Times New Roman;Times;serif"/>
          <w:b/>
          <w:sz w:val="20"/>
        </w:rPr>
        <w:t xml:space="preserve">Judgments. </w:t>
      </w:r>
      <w:r>
        <w:rPr>
          <w:rFonts w:ascii="Times New Roman;Times;serif" w:hAnsi="Times New Roman;Times;serif"/>
          <w:sz w:val="20"/>
        </w:rPr>
        <w:t>A judgment or judgments for the payment of money in an amount, individually or in the aggregate, of at least $4,000,000 shall be rendered against Borrower and shall remain unsatisfied and unstayed for a period of 10 days.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7.</w:t>
      </w:r>
      <w:r>
        <w:rPr>
          <w:rFonts w:ascii="Times New Roman;Times;serif" w:hAnsi="Times New Roman;Times;serif"/>
          <w:b/>
          <w:sz w:val="20"/>
        </w:rPr>
        <w:t>RIGHTS AND REMEDIES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an event of default exists, Lender may terminate this Agreement and declare the outstanding balance of the Loan immediately due and payable. Lender’s rights and remedies under this Agreement and all other agreements shall be cumulative. No exercise by Lender of one right or remedy shall be deemed an election of, or waiver of, any other right or remedy.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w:t>
      </w:r>
      <w:r>
        <w:rPr>
          <w:rFonts w:ascii="Times New Roman;Times;serif" w:hAnsi="Times New Roman;Times;serif"/>
          <w:b/>
          <w:sz w:val="20"/>
        </w:rPr>
        <w:t>RELATIONSHIP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8.1</w:t>
      </w:r>
      <w:r>
        <w:rPr>
          <w:rFonts w:ascii="Times New Roman;Times;serif" w:hAnsi="Times New Roman;Times;serif"/>
          <w:b/>
          <w:sz w:val="20"/>
        </w:rPr>
        <w:t xml:space="preserve">Independent Organizations. </w:t>
      </w:r>
      <w:r>
        <w:rPr>
          <w:rFonts w:ascii="Times New Roman;Times;serif" w:hAnsi="Times New Roman;Times;serif"/>
          <w:sz w:val="20"/>
        </w:rPr>
        <w:t>Lender and Borrower are separate corporate entities and independent contracting parties. Borrower acknowledges that the conduct of Borrower and its employees and agents, and any other legal obligations of Borrower, are the sole responsibility of Borrower. This Agreement and its performance will not create a partnership, joint venture, employment, fiduciary, or similar relationship for any purpose.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8.2</w:t>
      </w:r>
      <w:r>
        <w:rPr>
          <w:rFonts w:ascii="Times New Roman;Times;serif" w:hAnsi="Times New Roman;Times;serif"/>
          <w:b/>
          <w:sz w:val="20"/>
        </w:rPr>
        <w:t xml:space="preserve">Confidentiality. </w:t>
      </w:r>
      <w:r>
        <w:rPr>
          <w:rFonts w:ascii="Times New Roman;Times;serif" w:hAnsi="Times New Roman;Times;serif"/>
          <w:sz w:val="20"/>
        </w:rPr>
        <w:t>Each party shall keep confidential and shall not disclose or use for its benefit or the benefit of any third party, other than in connection with its activities under this Agreement, any confidential information obtained from the other party, without obtaining the other party’s prior written consent, except to the extent that such confidential information is required to be disclosed by law. Confidential information does not include information that: (i) is or becomes generally available to the public other than as a result of a disclosure by either party; (ii) was known by either party before being furnished by the other party; (iii) is independently developed by either party without use, directly or indirectly, of any confidential information or (iv) is or becomes available to either party on a non-confidential basis from a source other than the other party.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8.3</w:t>
      </w:r>
      <w:r>
        <w:rPr>
          <w:rFonts w:ascii="Times New Roman;Times;serif" w:hAnsi="Times New Roman;Times;serif"/>
          <w:b/>
          <w:sz w:val="20"/>
        </w:rPr>
        <w:t xml:space="preserve">Indemnification. </w:t>
      </w:r>
      <w:r>
        <w:rPr>
          <w:rFonts w:ascii="Times New Roman;Times;serif" w:hAnsi="Times New Roman;Times;serif"/>
          <w:sz w:val="20"/>
        </w:rPr>
        <w:t>Borrower shall defend, indemnify, and hold Lender, and its directors, officers, employees, agents, and affiliates, harmless from and against any and all claims, liabilities, losses, damages, and expenses, including, without limitation, reasonable attorneys’ fees and expenses, that may arise, directly or indirectly, from (i) any breach by Borrower of its obligations under this Agreement; or (ii) any other act or omission by Borrower. Borrower shall have no obligation to indemnify Lender to the extent the liability is solely caused by Lender’s gross negligence or willful misconduct.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8.4</w:t>
      </w:r>
      <w:r>
        <w:rPr>
          <w:rFonts w:ascii="Times New Roman;Times;serif" w:hAnsi="Times New Roman;Times;serif"/>
          <w:b/>
          <w:sz w:val="20"/>
        </w:rPr>
        <w:t xml:space="preserve">Inspection. </w:t>
      </w:r>
      <w:r>
        <w:rPr>
          <w:rFonts w:ascii="Times New Roman;Times;serif" w:hAnsi="Times New Roman;Times;serif"/>
          <w:sz w:val="20"/>
        </w:rPr>
        <w:t>Borrower shall permit Lender, or any persons designated by Lender, at any reasonable time, to inspect Borrower’s facilities and to inspect, audit, examine and make copies of Borrower’s books, records, and accounts.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w:t>
      </w:r>
      <w:r>
        <w:rPr>
          <w:rFonts w:ascii="Times New Roman;Times;serif" w:hAnsi="Times New Roman;Times;serif"/>
          <w:b/>
          <w:sz w:val="20"/>
        </w:rPr>
        <w:t>GENERAL PROVISIONS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9.1</w:t>
      </w:r>
      <w:r>
        <w:rPr>
          <w:rFonts w:ascii="Times New Roman;Times;serif" w:hAnsi="Times New Roman;Times;serif"/>
          <w:b/>
          <w:sz w:val="20"/>
        </w:rPr>
        <w:t xml:space="preserve">Entire Agreement. </w:t>
      </w:r>
      <w:r>
        <w:rPr>
          <w:rFonts w:ascii="Times New Roman;Times;serif" w:hAnsi="Times New Roman;Times;serif"/>
          <w:sz w:val="20"/>
        </w:rPr>
        <w:t>This Agreement is the entire agreement between Lender and Borrower and supersedes all prior or contemporaneous communications, representations, understandings, and agreements, either oral or written, relating to the lending relationship contemplated by the subject matter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9.2</w:t>
      </w:r>
      <w:r>
        <w:rPr>
          <w:rFonts w:ascii="Times New Roman;Times;serif" w:hAnsi="Times New Roman;Times;serif"/>
          <w:b/>
          <w:sz w:val="20"/>
        </w:rPr>
        <w:t xml:space="preserve">Governing Law. </w:t>
      </w:r>
      <w:r>
        <w:rPr>
          <w:rFonts w:ascii="Times New Roman;Times;serif" w:hAnsi="Times New Roman;Times;serif"/>
          <w:sz w:val="20"/>
        </w:rPr>
        <w:t>This Agreement shall be governed by the laws of the State of North Carolina.</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9.3</w:t>
      </w:r>
      <w:r>
        <w:rPr>
          <w:rFonts w:ascii="Times New Roman;Times;serif" w:hAnsi="Times New Roman;Times;serif"/>
          <w:b/>
          <w:sz w:val="20"/>
        </w:rPr>
        <w:t xml:space="preserve">Assignment. </w:t>
      </w:r>
      <w:r>
        <w:rPr>
          <w:rFonts w:ascii="Times New Roman;Times;serif" w:hAnsi="Times New Roman;Times;serif"/>
          <w:sz w:val="20"/>
        </w:rPr>
        <w:t>Borrower will not assign its rights or delegate its duties under this Agreement without first obtaining the written consent of Lender. For purposes of this Agreement, an assignment includes, without limitation, a merger in which Lender is not the surviving entity; a consolidation involving Borrower; any amendment to Borrower’s Articles of Incorporation or Bylaws, issuance by Borrower or sale or other transfer by holders of shares or other equity interests in Borrower, or any other action that has the effect of transferring to a single entity or person the power to elect a majority of the Borrower’s Board of Directors.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9.4</w:t>
      </w:r>
      <w:r>
        <w:rPr>
          <w:rFonts w:ascii="Times New Roman;Times;serif" w:hAnsi="Times New Roman;Times;serif"/>
          <w:b/>
          <w:sz w:val="20"/>
        </w:rPr>
        <w:t xml:space="preserve">Waiver. </w:t>
      </w:r>
      <w:r>
        <w:rPr>
          <w:rFonts w:ascii="Times New Roman;Times;serif" w:hAnsi="Times New Roman;Times;serif"/>
          <w:sz w:val="20"/>
        </w:rPr>
        <w:t>Any waiver of the provisions of this Agreement or of Lender’s or Borrower’s rights or remedies under this Agreement must be in writing and signed by the waiving party to be effective. Failure, neglect, or delay by Lender at any time to enforce the provisions of this Agreement or its rights or remedies will not be construed as a waiver of its rights, powers, or remedies under this Agreement. Waiver of any breach or provision of this Agreement, including, without limitation, any Event of Default, will not be considered a waiver of any later breach or of the right to enforce any provision of this Agreement. Borrower waives diligence, presentment, protest, demand and notice of any kind.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9.5</w:t>
      </w:r>
      <w:r>
        <w:rPr>
          <w:rFonts w:ascii="Times New Roman;Times;serif" w:hAnsi="Times New Roman;Times;serif"/>
          <w:b/>
          <w:sz w:val="20"/>
        </w:rPr>
        <w:t xml:space="preserve">Severability. </w:t>
      </w:r>
      <w:r>
        <w:rPr>
          <w:rFonts w:ascii="Times New Roman;Times;serif" w:hAnsi="Times New Roman;Times;serif"/>
          <w:sz w:val="20"/>
        </w:rPr>
        <w:t>If any provision of this Agreement is held illegal, invalid, or unenforceable, all other provisions of this Agreement will nevertheless be effective, and the illegal, invalid, or unenforceable provision will be considered modified such that it is valid to the maximum extent permitted by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9.6</w:t>
      </w:r>
      <w:r>
        <w:rPr>
          <w:rFonts w:ascii="Times New Roman;Times;serif" w:hAnsi="Times New Roman;Times;serif"/>
          <w:b/>
          <w:sz w:val="20"/>
        </w:rPr>
        <w:t xml:space="preserve">Amendments. </w:t>
      </w:r>
      <w:r>
        <w:rPr>
          <w:rFonts w:ascii="Times New Roman;Times;serif" w:hAnsi="Times New Roman;Times;serif"/>
          <w:sz w:val="20"/>
        </w:rPr>
        <w:t>This Agreement may be amended only as stated in a written document signed by both Lender and Borrower which states that it is an amendment to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9.7</w:t>
      </w:r>
      <w:r>
        <w:rPr>
          <w:rFonts w:ascii="Times New Roman;Times;serif" w:hAnsi="Times New Roman;Times;serif"/>
          <w:b/>
          <w:sz w:val="20"/>
        </w:rPr>
        <w:t xml:space="preserve">Notices. </w:t>
      </w:r>
      <w:r>
        <w:rPr>
          <w:rFonts w:ascii="Times New Roman;Times;serif" w:hAnsi="Times New Roman;Times;serif"/>
          <w:sz w:val="20"/>
        </w:rPr>
        <w:t>Any notices, approvals, consents or other communications required to be given by either party pursuant to this Agreement shall be in writing and delivered by mail, courier, e-mail message, or fax to the addresses set out on the signature page. These addresses may be changed by written notice to the other party.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9.8</w:t>
      </w:r>
      <w:r>
        <w:rPr>
          <w:rFonts w:ascii="Times New Roman;Times;serif" w:hAnsi="Times New Roman;Times;serif"/>
          <w:b/>
          <w:sz w:val="20"/>
        </w:rPr>
        <w:t xml:space="preserve">Counterparts. </w:t>
      </w:r>
      <w:r>
        <w:rPr>
          <w:rFonts w:ascii="Times New Roman;Times;serif" w:hAnsi="Times New Roman;Times;serif"/>
          <w:sz w:val="20"/>
        </w:rPr>
        <w:t>This Agreement may be executed in one or more counterparts, each of which will be deemed an original and all of which will be taken together and deemed to be one instrument. Transmission by fax or PDF of executed counterparts will constitute effective delivery.</w:t>
      </w:r>
    </w:p>
    <w:p>
      <w:pPr>
        <w:pStyle w:val="TextBody"/>
        <w:bidi w:val="0"/>
        <w:spacing w:before="0" w:after="240"/>
        <w:ind w:left="0" w:right="0" w:hanging="0"/>
        <w:jc w:val="center"/>
        <w:rPr>
          <w:rFonts w:ascii="Times New Roman;Times;serif" w:hAnsi="Times New Roman;Times;serif"/>
          <w:sz w:val="16"/>
        </w:rPr>
      </w:pPr>
      <w:r>
        <w:rPr>
          <w:rFonts w:ascii="Times New Roman;Times;serif" w:hAnsi="Times New Roman;Times;serif"/>
          <w:sz w:val="16"/>
        </w:rPr>
        <w:t>* * * * * * * *</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Lender and Borrower signed this Agreement as of the date set out in its first paragraph.</w:t>
      </w:r>
    </w:p>
    <w:tbl>
      <w:tblPr>
        <w:tblW w:w="4627" w:type="dxa"/>
        <w:jc w:val="left"/>
        <w:tblInd w:w="0" w:type="dxa"/>
        <w:tblLayout w:type="fixed"/>
        <w:tblCellMar>
          <w:top w:w="0" w:type="dxa"/>
          <w:left w:w="0" w:type="dxa"/>
          <w:bottom w:w="0" w:type="dxa"/>
          <w:right w:w="0" w:type="dxa"/>
        </w:tblCellMar>
      </w:tblPr>
      <w:tblGrid>
        <w:gridCol w:w="124"/>
        <w:gridCol w:w="4503"/>
      </w:tblGrid>
      <w:tr>
        <w:trPr/>
        <w:tc>
          <w:tcPr>
            <w:tcW w:w="124" w:type="dxa"/>
            <w:tcBorders/>
            <w:vAlign w:val="center"/>
          </w:tcPr>
          <w:p>
            <w:pPr>
              <w:pStyle w:val="TableContents"/>
              <w:bidi w:val="0"/>
              <w:spacing w:before="0" w:after="0"/>
              <w:ind w:left="0" w:right="0" w:hanging="0"/>
              <w:jc w:val="left"/>
              <w:rPr/>
            </w:pPr>
            <w:r>
              <w:rPr/>
              <w:t>​</w:t>
            </w:r>
          </w:p>
        </w:tc>
        <w:tc>
          <w:tcPr>
            <w:tcW w:w="4503" w:type="dxa"/>
            <w:tcBorders/>
            <w:vAlign w:val="center"/>
          </w:tcPr>
          <w:p>
            <w:pPr>
              <w:pStyle w:val="TableContents"/>
              <w:bidi w:val="0"/>
              <w:spacing w:before="0" w:after="0"/>
              <w:ind w:left="0" w:right="0" w:hanging="0"/>
              <w:jc w:val="left"/>
              <w:rPr/>
            </w:pPr>
            <w:r>
              <w:rPr/>
              <w:drawing>
                <wp:inline distT="0" distB="0" distL="0" distR="0">
                  <wp:extent cx="2776220" cy="2560320"/>
                  <wp:effectExtent l="0" t="0" r="0" b="0"/>
                  <wp:docPr id="65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 name="Image2" descr=""/>
                          <pic:cNvPicPr>
                            <a:picLocks noChangeAspect="1" noChangeArrowheads="1"/>
                          </pic:cNvPicPr>
                        </pic:nvPicPr>
                        <pic:blipFill>
                          <a:blip r:embed="rId17"/>
                          <a:stretch>
                            <a:fillRect/>
                          </a:stretch>
                        </pic:blipFill>
                        <pic:spPr bwMode="auto">
                          <a:xfrm>
                            <a:off x="0" y="0"/>
                            <a:ext cx="2776220" cy="2560320"/>
                          </a:xfrm>
                          <a:prstGeom prst="rect">
                            <a:avLst/>
                          </a:prstGeom>
                        </pic:spPr>
                      </pic:pic>
                    </a:graphicData>
                  </a:graphic>
                </wp:inline>
              </w:drawing>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1437" w:name="ctnt-20260630xex10d12.htm"/>
      <w:bookmarkStart w:id="1438" w:name="ksctnt20260630xex10d12"/>
      <w:bookmarkEnd w:id="1437"/>
      <w:bookmarkEnd w:id="1438"/>
      <w:r>
        <w:rPr/>
        <w:t>​</w:t>
      </w:r>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10.12</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LOAN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THIS LOAN AGREEMENT </w:t>
      </w:r>
      <w:r>
        <w:rPr>
          <w:rFonts w:ascii="Times New Roman;Times;serif" w:hAnsi="Times New Roman;Times;serif"/>
          <w:sz w:val="20"/>
        </w:rPr>
        <w:t>(“Agreement”) is entered into as of May 11, 2026, by and between Cheetah Net Supply Chain Service Inc., a North Carolina corporation (“Lender”), and Asia Finance Investment Limited. (“Borrower”).</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RECITALS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Borrower desires to borrow from Lender, and Lender agrees to loan to Borrower, the Loan amounts described below.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NOW, THEREFORE, Lender and Borrower agree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w:t>
      </w:r>
      <w:r>
        <w:rPr>
          <w:rFonts w:ascii="Times New Roman;Times;serif" w:hAnsi="Times New Roman;Times;serif"/>
          <w:b/>
          <w:sz w:val="20"/>
        </w:rPr>
        <w:t>LOAN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1.1</w:t>
      </w:r>
      <w:r>
        <w:rPr>
          <w:rFonts w:ascii="Times New Roman;Times;serif" w:hAnsi="Times New Roman;Times;serif"/>
          <w:b/>
          <w:sz w:val="20"/>
        </w:rPr>
        <w:t xml:space="preserve">Loan. </w:t>
      </w:r>
      <w:r>
        <w:rPr>
          <w:rFonts w:ascii="Times New Roman;Times;serif" w:hAnsi="Times New Roman;Times;serif"/>
          <w:sz w:val="20"/>
        </w:rPr>
        <w:t>Lender agrees to lend to Borrower and Borrower agrees to borrow from Lender the principal amount of One Million Dollars ($1,000,000) (the “Loan”).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1.2</w:t>
      </w:r>
      <w:r>
        <w:rPr>
          <w:rFonts w:ascii="Times New Roman;Times;serif" w:hAnsi="Times New Roman;Times;serif"/>
          <w:b/>
          <w:sz w:val="20"/>
        </w:rPr>
        <w:t xml:space="preserve">Interest. </w:t>
      </w:r>
      <w:r>
        <w:rPr>
          <w:rFonts w:ascii="Times New Roman;Times;serif" w:hAnsi="Times New Roman;Times;serif"/>
          <w:sz w:val="20"/>
        </w:rPr>
        <w:t>Except as provided in Section 1.4, the Loan shall bear interest at an annual rate of 5%, calculated on the basis of a 360-day year for the actual number of days for which interest is calculated.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1.3</w:t>
      </w:r>
      <w:r>
        <w:rPr>
          <w:rFonts w:ascii="Times New Roman;Times;serif" w:hAnsi="Times New Roman;Times;serif"/>
          <w:b/>
          <w:sz w:val="20"/>
        </w:rPr>
        <w:t xml:space="preserve">Payment Schedule. </w:t>
      </w:r>
      <w:r>
        <w:rPr>
          <w:rFonts w:ascii="Times New Roman;Times;serif" w:hAnsi="Times New Roman;Times;serif"/>
          <w:sz w:val="20"/>
        </w:rPr>
        <w:t>The Borrower shall repay the Loan and the Interest in a single lump sum on the date twelve months after the Lender has disbursed the Loan (the “Maturity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1.4</w:t>
      </w:r>
      <w:r>
        <w:rPr>
          <w:rFonts w:ascii="Times New Roman;Times;serif" w:hAnsi="Times New Roman;Times;serif"/>
          <w:b/>
          <w:sz w:val="20"/>
        </w:rPr>
        <w:t xml:space="preserve">Overdue Payments. </w:t>
      </w:r>
      <w:r>
        <w:rPr>
          <w:rFonts w:ascii="Times New Roman;Times;serif" w:hAnsi="Times New Roman;Times;serif"/>
          <w:sz w:val="20"/>
        </w:rPr>
        <w:t>Any overdue payments or unpaid portions of such payments under this Loan shall bear interest, payable on demand, at an annual rate of 7.5%, until repaid by Borrower; provided, however, that the aggregate rate of interest shall not exceed the maximum permissible interest rate under applicable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1.5</w:t>
      </w:r>
      <w:r>
        <w:rPr>
          <w:rFonts w:ascii="Times New Roman;Times;serif" w:hAnsi="Times New Roman;Times;serif"/>
          <w:b/>
          <w:sz w:val="20"/>
        </w:rPr>
        <w:t xml:space="preserve">Disbursement by Lender. </w:t>
      </w:r>
      <w:r>
        <w:rPr>
          <w:rFonts w:ascii="Times New Roman;Times;serif" w:hAnsi="Times New Roman;Times;serif"/>
          <w:sz w:val="20"/>
        </w:rPr>
        <w:t>Lender will pay the Loan to Borrower via wire transfer to the following account at such time after the execution of this Agreement as Lender in its sole discretion may determine.</w:t>
      </w:r>
    </w:p>
    <w:p>
      <w:pPr>
        <w:pStyle w:val="TextBody"/>
        <w:bidi w:val="0"/>
        <w:spacing w:before="0" w:after="0"/>
        <w:ind w:left="576" w:right="0" w:hanging="0"/>
        <w:jc w:val="left"/>
        <w:rPr>
          <w:rFonts w:ascii="Times New Roman;Times;serif" w:hAnsi="Times New Roman;Times;serif"/>
          <w:sz w:val="20"/>
        </w:rPr>
      </w:pPr>
      <w:r>
        <w:rPr>
          <w:rFonts w:ascii="Times New Roman;Times;serif" w:hAnsi="Times New Roman;Times;serif"/>
          <w:sz w:val="20"/>
        </w:rPr>
        <w:t>Beneficiary Bank</w:t>
      </w:r>
    </w:p>
    <w:p>
      <w:pPr>
        <w:pStyle w:val="TextBody"/>
        <w:bidi w:val="0"/>
        <w:spacing w:before="0" w:after="240"/>
        <w:ind w:left="576" w:right="0" w:hanging="0"/>
        <w:jc w:val="left"/>
        <w:rPr>
          <w:rFonts w:ascii="Times New Roman;Times;serif" w:hAnsi="Times New Roman;Times;serif"/>
          <w:sz w:val="20"/>
        </w:rPr>
      </w:pPr>
      <w:r>
        <w:rPr>
          <w:rFonts w:ascii="Times New Roman;Times;serif" w:hAnsi="Times New Roman;Times;serif"/>
          <w:sz w:val="20"/>
        </w:rPr>
        <w:t xml:space="preserve">SWIFT Code </w:t>
        <w:br/>
        <w:t xml:space="preserve">Bank Name: </w:t>
        <w:br/>
        <w:t>Address:</w:t>
      </w:r>
    </w:p>
    <w:p>
      <w:pPr>
        <w:pStyle w:val="TextBody"/>
        <w:bidi w:val="0"/>
        <w:spacing w:before="0" w:after="0"/>
        <w:ind w:left="576" w:right="0" w:hanging="0"/>
        <w:jc w:val="left"/>
        <w:rPr>
          <w:rFonts w:ascii="Times New Roman;Times;serif" w:hAnsi="Times New Roman;Times;serif"/>
          <w:sz w:val="20"/>
        </w:rPr>
      </w:pPr>
      <w:r>
        <w:rPr>
          <w:rFonts w:ascii="Times New Roman;Times;serif" w:hAnsi="Times New Roman;Times;serif"/>
          <w:sz w:val="20"/>
        </w:rPr>
        <w:t>Beneficiary Party</w:t>
      </w:r>
    </w:p>
    <w:p>
      <w:pPr>
        <w:pStyle w:val="TextBody"/>
        <w:bidi w:val="0"/>
        <w:spacing w:before="0" w:after="0"/>
        <w:ind w:left="576" w:right="0" w:hanging="0"/>
        <w:jc w:val="left"/>
        <w:rPr>
          <w:rFonts w:ascii="Times New Roman;Times;serif" w:hAnsi="Times New Roman;Times;serif"/>
          <w:sz w:val="20"/>
        </w:rPr>
      </w:pPr>
      <w:r>
        <w:rPr>
          <w:rFonts w:ascii="Times New Roman;Times;serif" w:hAnsi="Times New Roman;Times;serif"/>
          <w:sz w:val="20"/>
        </w:rPr>
        <w:t>Name:</w:t>
      </w:r>
    </w:p>
    <w:p>
      <w:pPr>
        <w:pStyle w:val="TextBody"/>
        <w:bidi w:val="0"/>
        <w:spacing w:before="0" w:after="240"/>
        <w:ind w:left="576" w:right="0" w:hanging="0"/>
        <w:jc w:val="left"/>
        <w:rPr>
          <w:rFonts w:ascii="Times New Roman;Times;serif" w:hAnsi="Times New Roman;Times;serif"/>
          <w:sz w:val="20"/>
        </w:rPr>
      </w:pPr>
      <w:r>
        <w:rPr>
          <w:rFonts w:ascii="Times New Roman;Times;serif" w:hAnsi="Times New Roman;Times;serif"/>
          <w:sz w:val="20"/>
        </w:rPr>
        <w:t>Account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1.6</w:t>
      </w:r>
      <w:r>
        <w:rPr>
          <w:rFonts w:ascii="Times New Roman;Times;serif" w:hAnsi="Times New Roman;Times;serif"/>
          <w:b/>
          <w:sz w:val="20"/>
        </w:rPr>
        <w:t xml:space="preserve">Payments by Borrower. </w:t>
      </w:r>
      <w:r>
        <w:rPr>
          <w:rFonts w:ascii="Times New Roman;Times;serif" w:hAnsi="Times New Roman;Times;serif"/>
          <w:sz w:val="20"/>
        </w:rPr>
        <w:t>Borrower shall make payments to Lender via wire transfer to an account specified by Lender.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1.7</w:t>
      </w:r>
      <w:r>
        <w:rPr>
          <w:rFonts w:ascii="Times New Roman;Times;serif" w:hAnsi="Times New Roman;Times;serif"/>
          <w:b/>
          <w:sz w:val="20"/>
        </w:rPr>
        <w:t xml:space="preserve">Computations and Records. </w:t>
      </w:r>
      <w:r>
        <w:rPr>
          <w:rFonts w:ascii="Times New Roman;Times;serif" w:hAnsi="Times New Roman;Times;serif"/>
          <w:sz w:val="20"/>
        </w:rPr>
        <w:t>Lender shall record the date and amount of each payment by Borrower, and the resulting balance of the Loan. Borrower acknowledges and agrees that Lender’s books and records relating to the transactions of this Agreement, including, without limitation, interest computations, shall be deemed correct, accurate and binding on Borrower.</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REPRESENTATIONS AND WARRANTIES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Borrower represents and warrants to Lender the following: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2.1</w:t>
      </w:r>
      <w:r>
        <w:rPr>
          <w:rFonts w:ascii="Times New Roman;Times;serif" w:hAnsi="Times New Roman;Times;serif"/>
          <w:b/>
          <w:sz w:val="20"/>
        </w:rPr>
        <w:t xml:space="preserve">Due Organization and Qualification. </w:t>
      </w:r>
      <w:r>
        <w:rPr>
          <w:rFonts w:ascii="Times New Roman;Times;serif" w:hAnsi="Times New Roman;Times;serif"/>
          <w:sz w:val="20"/>
        </w:rPr>
        <w:t>Borrower is a corporation duly organized, validly existing, and in good standing under the laws of the state in which it is incorporated.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2.2</w:t>
      </w:r>
      <w:r>
        <w:rPr>
          <w:rFonts w:ascii="Times New Roman;Times;serif" w:hAnsi="Times New Roman;Times;serif"/>
          <w:b/>
          <w:sz w:val="20"/>
        </w:rPr>
        <w:t xml:space="preserve">Due Authorization; No Conflict. </w:t>
      </w:r>
      <w:r>
        <w:rPr>
          <w:rFonts w:ascii="Times New Roman;Times;serif" w:hAnsi="Times New Roman;Times;serif"/>
          <w:sz w:val="20"/>
        </w:rPr>
        <w:t>The execution, delivery, and performance of the Agreement is within Borrower’s corporate powers, has been authorized by Borrower’s Board of Directors, will not conflict with or breach any provision of Borrower’s Articles of Incorporation or Bylaws, and will not create or result in a breach or default under any contract or any law, regulation, or order by which Borrower is bound.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2.3</w:t>
      </w:r>
      <w:r>
        <w:rPr>
          <w:rFonts w:ascii="Times New Roman;Times;serif" w:hAnsi="Times New Roman;Times;serif"/>
          <w:b/>
          <w:sz w:val="20"/>
        </w:rPr>
        <w:t xml:space="preserve">Enforceable Agreement. </w:t>
      </w:r>
      <w:r>
        <w:rPr>
          <w:rFonts w:ascii="Times New Roman;Times;serif" w:hAnsi="Times New Roman;Times;serif"/>
          <w:sz w:val="20"/>
        </w:rPr>
        <w:t>This Agreement has been duly executed and delivered by Borrower and is the legal, valid, and binding obligation of Borrower, enforceable against it in accordance with its terms.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2.4</w:t>
      </w:r>
      <w:r>
        <w:rPr>
          <w:rFonts w:ascii="Times New Roman;Times;serif" w:hAnsi="Times New Roman;Times;serif"/>
          <w:b/>
          <w:sz w:val="20"/>
        </w:rPr>
        <w:t xml:space="preserve">Compliance with Law. </w:t>
      </w:r>
      <w:r>
        <w:rPr>
          <w:rFonts w:ascii="Times New Roman;Times;serif" w:hAnsi="Times New Roman;Times;serif"/>
          <w:sz w:val="20"/>
        </w:rPr>
        <w:t>Borrower is not in violation of any law, regulation, order or agreement, the consequences of which could reasonably be expected to have a material adverse effect on Borrower.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AFFIRMATIVE COVENANTS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3.1</w:t>
      </w:r>
      <w:r>
        <w:rPr>
          <w:rFonts w:ascii="Times New Roman;Times;serif" w:hAnsi="Times New Roman;Times;serif"/>
          <w:b/>
          <w:sz w:val="20"/>
        </w:rPr>
        <w:t xml:space="preserve">Good Standing. </w:t>
      </w:r>
      <w:r>
        <w:rPr>
          <w:rFonts w:ascii="Times New Roman;Times;serif" w:hAnsi="Times New Roman;Times;serif"/>
          <w:sz w:val="20"/>
        </w:rPr>
        <w:t>Borrower shall remain in good standing as a corporation in the jurisdiction of its incorporation.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3.2</w:t>
      </w:r>
      <w:r>
        <w:rPr>
          <w:rFonts w:ascii="Times New Roman;Times;serif" w:hAnsi="Times New Roman;Times;serif"/>
          <w:b/>
          <w:sz w:val="20"/>
        </w:rPr>
        <w:t xml:space="preserve">Compliance with Law. </w:t>
      </w:r>
      <w:r>
        <w:rPr>
          <w:rFonts w:ascii="Times New Roman;Times;serif" w:hAnsi="Times New Roman;Times;serif"/>
          <w:sz w:val="20"/>
        </w:rPr>
        <w:t>Borrower shall comply with all laws, regulations, and orders applicable to 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3.3</w:t>
      </w:r>
      <w:r>
        <w:rPr>
          <w:rFonts w:ascii="Times New Roman;Times;serif" w:hAnsi="Times New Roman;Times;serif"/>
          <w:b/>
          <w:sz w:val="20"/>
        </w:rPr>
        <w:t xml:space="preserve">Maintenance of Property. </w:t>
      </w:r>
      <w:r>
        <w:rPr>
          <w:rFonts w:ascii="Times New Roman;Times;serif" w:hAnsi="Times New Roman;Times;serif"/>
          <w:sz w:val="20"/>
        </w:rPr>
        <w:t>Borrower shall maintain all of its property necessary and useful in the conduct of its business in good operating condition and repair, ordinary wear and tear excepted.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3.4</w:t>
      </w:r>
      <w:r>
        <w:rPr>
          <w:rFonts w:ascii="Times New Roman;Times;serif" w:hAnsi="Times New Roman;Times;serif"/>
          <w:b/>
          <w:sz w:val="20"/>
        </w:rPr>
        <w:t xml:space="preserve">Insurance. </w:t>
      </w:r>
      <w:r>
        <w:rPr>
          <w:rFonts w:ascii="Times New Roman;Times;serif" w:hAnsi="Times New Roman;Times;serif"/>
          <w:sz w:val="20"/>
        </w:rPr>
        <w:t>Borrower shall maintain and keep in force insurance of the types and amounts customarily carried in its line of business, including, without limitation, fire, public liability, property damage and workers’ compensation.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w:t>
      </w:r>
      <w:r>
        <w:rPr>
          <w:rFonts w:ascii="Times New Roman;Times;serif" w:hAnsi="Times New Roman;Times;serif"/>
          <w:b/>
          <w:sz w:val="20"/>
        </w:rPr>
        <w:t>REPORTING COVENANTS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4.1</w:t>
      </w:r>
      <w:r>
        <w:rPr>
          <w:rFonts w:ascii="Times New Roman;Times;serif" w:hAnsi="Times New Roman;Times;serif"/>
          <w:b/>
          <w:sz w:val="20"/>
        </w:rPr>
        <w:t xml:space="preserve">Notice to Lender. </w:t>
      </w:r>
      <w:r>
        <w:rPr>
          <w:rFonts w:ascii="Times New Roman;Times;serif" w:hAnsi="Times New Roman;Times;serif"/>
          <w:sz w:val="20"/>
        </w:rPr>
        <w:t>Borrower shall promptly notify Lender of:</w:t>
      </w:r>
    </w:p>
    <w:tbl>
      <w:tblPr>
        <w:tblW w:w="6213" w:type="dxa"/>
        <w:jc w:val="left"/>
        <w:tblInd w:w="0" w:type="dxa"/>
        <w:tblLayout w:type="fixed"/>
        <w:tblCellMar>
          <w:top w:w="0" w:type="dxa"/>
          <w:left w:w="0" w:type="dxa"/>
          <w:bottom w:w="0" w:type="dxa"/>
          <w:right w:w="0" w:type="dxa"/>
        </w:tblCellMar>
      </w:tblPr>
      <w:tblGrid>
        <w:gridCol w:w="23"/>
        <w:gridCol w:w="200"/>
        <w:gridCol w:w="599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w:t>
            </w:r>
          </w:p>
        </w:tc>
        <w:tc>
          <w:tcPr>
            <w:tcW w:w="599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material change to Borrower’s financial condition or corporate status;</w:t>
            </w:r>
          </w:p>
        </w:tc>
      </w:tr>
    </w:tbl>
    <w:tbl>
      <w:tblPr>
        <w:tblW w:w="10205" w:type="dxa"/>
        <w:jc w:val="left"/>
        <w:tblInd w:w="0" w:type="dxa"/>
        <w:tblLayout w:type="fixed"/>
        <w:tblCellMar>
          <w:top w:w="0" w:type="dxa"/>
          <w:left w:w="0" w:type="dxa"/>
          <w:bottom w:w="0" w:type="dxa"/>
          <w:right w:w="0" w:type="dxa"/>
        </w:tblCellMar>
      </w:tblPr>
      <w:tblGrid>
        <w:gridCol w:w="23"/>
        <w:gridCol w:w="239"/>
        <w:gridCol w:w="9943"/>
      </w:tblGrid>
      <w:tr>
        <w:trPr/>
        <w:tc>
          <w:tcPr>
            <w:tcW w:w="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w:t>
            </w:r>
          </w:p>
        </w:tc>
        <w:tc>
          <w:tcPr>
            <w:tcW w:w="99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legal or regulatory action, proceeding or investigation threatened or instituted against Borrower that could reasonably be expected to have a material adverse effect on Borrower;</w:t>
            </w:r>
          </w:p>
        </w:tc>
      </w:tr>
    </w:tbl>
    <w:tbl>
      <w:tblPr>
        <w:tblW w:w="6948" w:type="dxa"/>
        <w:jc w:val="left"/>
        <w:tblInd w:w="0" w:type="dxa"/>
        <w:tblLayout w:type="fixed"/>
        <w:tblCellMar>
          <w:top w:w="0" w:type="dxa"/>
          <w:left w:w="0" w:type="dxa"/>
          <w:bottom w:w="0" w:type="dxa"/>
          <w:right w:w="0" w:type="dxa"/>
        </w:tblCellMar>
      </w:tblPr>
      <w:tblGrid>
        <w:gridCol w:w="23"/>
        <w:gridCol w:w="320"/>
        <w:gridCol w:w="660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(iii)</w:t>
            </w:r>
          </w:p>
        </w:tc>
        <w:tc>
          <w:tcPr>
            <w:tcW w:w="660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substantial damage to or destruction of Borrower’s business facilities or premises;</w:t>
            </w:r>
          </w:p>
        </w:tc>
      </w:tr>
    </w:tbl>
    <w:tbl>
      <w:tblPr>
        <w:tblW w:w="9933" w:type="dxa"/>
        <w:jc w:val="left"/>
        <w:tblInd w:w="0" w:type="dxa"/>
        <w:tblLayout w:type="fixed"/>
        <w:tblCellMar>
          <w:top w:w="0" w:type="dxa"/>
          <w:left w:w="0" w:type="dxa"/>
          <w:bottom w:w="0" w:type="dxa"/>
          <w:right w:w="0" w:type="dxa"/>
        </w:tblCellMar>
      </w:tblPr>
      <w:tblGrid>
        <w:gridCol w:w="23"/>
        <w:gridCol w:w="305"/>
        <w:gridCol w:w="9605"/>
      </w:tblGrid>
      <w:tr>
        <w:trPr/>
        <w:tc>
          <w:tcPr>
            <w:tcW w:w="2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(iv)</w:t>
            </w:r>
          </w:p>
        </w:tc>
        <w:tc>
          <w:tcPr>
            <w:tcW w:w="960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event of default under this Agreement, or any event that with lapse of time would constitute an event of default; or</w:t>
            </w:r>
          </w:p>
        </w:tc>
      </w:tr>
    </w:tbl>
    <w:tbl>
      <w:tblPr>
        <w:tblW w:w="7083" w:type="dxa"/>
        <w:jc w:val="left"/>
        <w:tblInd w:w="0" w:type="dxa"/>
        <w:tblLayout w:type="fixed"/>
        <w:tblCellMar>
          <w:top w:w="0" w:type="dxa"/>
          <w:left w:w="0" w:type="dxa"/>
          <w:bottom w:w="0" w:type="dxa"/>
          <w:right w:w="0" w:type="dxa"/>
        </w:tblCellMar>
      </w:tblPr>
      <w:tblGrid>
        <w:gridCol w:w="23"/>
        <w:gridCol w:w="245"/>
        <w:gridCol w:w="681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(v)</w:t>
            </w:r>
          </w:p>
        </w:tc>
        <w:tc>
          <w:tcPr>
            <w:tcW w:w="681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other development that has or could have a material adverse effect on Borrower.</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w:t>
      </w:r>
      <w:r>
        <w:rPr>
          <w:rFonts w:ascii="Times New Roman;Times;serif" w:hAnsi="Times New Roman;Times;serif"/>
          <w:b/>
          <w:sz w:val="20"/>
        </w:rPr>
        <w:t>NEGATIVE COVENANTS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5.1</w:t>
      </w:r>
      <w:r>
        <w:rPr>
          <w:rFonts w:ascii="Times New Roman;Times;serif" w:hAnsi="Times New Roman;Times;serif"/>
          <w:b/>
          <w:sz w:val="20"/>
        </w:rPr>
        <w:t xml:space="preserve">Additional Debt. </w:t>
      </w:r>
      <w:r>
        <w:rPr>
          <w:rFonts w:ascii="Times New Roman;Times;serif" w:hAnsi="Times New Roman;Times;serif"/>
          <w:sz w:val="20"/>
        </w:rPr>
        <w:t>Borrower shall not borrow money from other parties without first disclosing the proposed borrowing to Lender.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5.2</w:t>
      </w:r>
      <w:r>
        <w:rPr>
          <w:rFonts w:ascii="Times New Roman;Times;serif" w:hAnsi="Times New Roman;Times;serif"/>
          <w:b/>
          <w:sz w:val="20"/>
        </w:rPr>
        <w:t xml:space="preserve">Liens. </w:t>
      </w:r>
      <w:r>
        <w:rPr>
          <w:rFonts w:ascii="Times New Roman;Times;serif" w:hAnsi="Times New Roman;Times;serif"/>
          <w:sz w:val="20"/>
        </w:rPr>
        <w:t>Borrower shall not create, assume, or allow any security interest or lien on property that Borrower now or later owns except: (i) liens and security interests in favor of Lender; (ii) liens for taxes not yet due; (iii) liens outstanding on the date of this Agreement disclosed in writing to Lender; (iv) liens arising by operation of law; and (v) liens arising in the ordinary course of Borrower’s business securing amounts Borrower owes in the operation of its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5.3</w:t>
      </w:r>
      <w:r>
        <w:rPr>
          <w:rFonts w:ascii="Times New Roman;Times;serif" w:hAnsi="Times New Roman;Times;serif"/>
          <w:b/>
          <w:sz w:val="20"/>
        </w:rPr>
        <w:t xml:space="preserve">Sale of Assets; Change of Control; Mergers. </w:t>
      </w:r>
      <w:r>
        <w:rPr>
          <w:rFonts w:ascii="Times New Roman;Times;serif" w:hAnsi="Times New Roman;Times;serif"/>
          <w:sz w:val="20"/>
        </w:rPr>
        <w:t>Borrower shall not, without Lender’s prior written consent: (i) sell, lease, transfer or dispose of substantially all of its assets to another entity; (ii) issue equity which would result in a change of control of Borrower; or (iii) consolidate with or merge into another entity, permit any other entity to merge into it or consolidate with 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5.4</w:t>
      </w:r>
      <w:r>
        <w:rPr>
          <w:rFonts w:ascii="Times New Roman;Times;serif" w:hAnsi="Times New Roman;Times;serif"/>
          <w:b/>
          <w:sz w:val="20"/>
        </w:rPr>
        <w:t xml:space="preserve">Changes in Nature of Business. </w:t>
      </w:r>
      <w:r>
        <w:rPr>
          <w:rFonts w:ascii="Times New Roman;Times;serif" w:hAnsi="Times New Roman;Times;serif"/>
          <w:sz w:val="20"/>
        </w:rPr>
        <w:t>Borrower shall not, directly or indirectly, engage in any business not related or incidental to the business conducted by Borrower on the date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w:t>
      </w:r>
      <w:r>
        <w:rPr>
          <w:rFonts w:ascii="Times New Roman;Times;serif" w:hAnsi="Times New Roman;Times;serif"/>
          <w:b/>
          <w:sz w:val="20"/>
        </w:rPr>
        <w:t>EVENTS OF DEFAULT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Any one or more of the following events shall constitute an Event of Default: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6.1</w:t>
      </w:r>
      <w:r>
        <w:rPr>
          <w:rFonts w:ascii="Times New Roman;Times;serif" w:hAnsi="Times New Roman;Times;serif"/>
          <w:b/>
          <w:sz w:val="20"/>
        </w:rPr>
        <w:t xml:space="preserve">Payment Default. </w:t>
      </w:r>
      <w:r>
        <w:rPr>
          <w:rFonts w:ascii="Times New Roman;Times;serif" w:hAnsi="Times New Roman;Times;serif"/>
          <w:sz w:val="20"/>
        </w:rPr>
        <w:t>Borrower fails to make any interest or principal payment or payment of any other obligation under this Agreement after it is due.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6.2</w:t>
      </w:r>
      <w:r>
        <w:rPr>
          <w:rFonts w:ascii="Times New Roman;Times;serif" w:hAnsi="Times New Roman;Times;serif"/>
          <w:b/>
          <w:sz w:val="20"/>
        </w:rPr>
        <w:t xml:space="preserve">Misrepresentations. </w:t>
      </w:r>
      <w:r>
        <w:rPr>
          <w:rFonts w:ascii="Times New Roman;Times;serif" w:hAnsi="Times New Roman;Times;serif"/>
          <w:sz w:val="20"/>
        </w:rPr>
        <w:t>Any representation or warranty or statement made by Borrower in this Agreement or in any fmancial statement, report or certificate furnished by Borrower to Lender under this Agreement proves to be untrue in any material respect as of the date on which the representation or statement was made.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6.3</w:t>
      </w:r>
      <w:r>
        <w:rPr>
          <w:rFonts w:ascii="Times New Roman;Times;serif" w:hAnsi="Times New Roman;Times;serif"/>
          <w:b/>
          <w:sz w:val="20"/>
        </w:rPr>
        <w:t xml:space="preserve">Covenants. </w:t>
      </w:r>
      <w:r>
        <w:rPr>
          <w:rFonts w:ascii="Times New Roman;Times;serif" w:hAnsi="Times New Roman;Times;serif"/>
          <w:sz w:val="20"/>
        </w:rPr>
        <w:t>Borrower fails to perform or observe any covenants or any other material provision of this Agreement, aside from payment, and such failure continues for 15 days.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6.4</w:t>
      </w:r>
      <w:r>
        <w:rPr>
          <w:rFonts w:ascii="Times New Roman;Times;serif" w:hAnsi="Times New Roman;Times;serif"/>
          <w:b/>
          <w:sz w:val="20"/>
        </w:rPr>
        <w:t xml:space="preserve">Insolvency. </w:t>
      </w:r>
      <w:r>
        <w:rPr>
          <w:rFonts w:ascii="Times New Roman;Times;serif" w:hAnsi="Times New Roman;Times;serif"/>
          <w:sz w:val="20"/>
        </w:rPr>
        <w:t>Borrower becomes insolvent, or an insolvency proceeding is commenced by Borrower or commenced against Borrower and is not dismissed or stayed within 30 days. “Insolvency proceeding” means any proceeding commenced by or against any person or entity under any provision of the United States Bankruptcy Code, as amended, or under any other bankruptcy or insolvency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6.5</w:t>
      </w:r>
      <w:r>
        <w:rPr>
          <w:rFonts w:ascii="Times New Roman;Times;serif" w:hAnsi="Times New Roman;Times;serif"/>
          <w:b/>
          <w:sz w:val="20"/>
        </w:rPr>
        <w:t xml:space="preserve">Other Agreements. </w:t>
      </w:r>
      <w:r>
        <w:rPr>
          <w:rFonts w:ascii="Times New Roman;Times;serif" w:hAnsi="Times New Roman;Times;serif"/>
          <w:sz w:val="20"/>
        </w:rPr>
        <w:t>There is a default or other failure to perform by Borrower under any agreement to which Borrower is a party resulting in a third-party right, whether or not exercised, to accelerate the maturity of any indebtedness in an amount in excess of $1,000,000 or that would reasonably be expected to have a material adverse effect on Borrower.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6.6</w:t>
      </w:r>
      <w:r>
        <w:rPr>
          <w:rFonts w:ascii="Times New Roman;Times;serif" w:hAnsi="Times New Roman;Times;serif"/>
          <w:b/>
          <w:sz w:val="20"/>
        </w:rPr>
        <w:t xml:space="preserve">Judgments. </w:t>
      </w:r>
      <w:r>
        <w:rPr>
          <w:rFonts w:ascii="Times New Roman;Times;serif" w:hAnsi="Times New Roman;Times;serif"/>
          <w:sz w:val="20"/>
        </w:rPr>
        <w:t>A judgment or judgments for the payment of money in an amount, individually or in the aggregate, of at least $1,000,000 shall be rendered against Borrower and shall remain unsatisfied and unstayed for a period of 10 days.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7.</w:t>
      </w:r>
      <w:r>
        <w:rPr>
          <w:rFonts w:ascii="Times New Roman;Times;serif" w:hAnsi="Times New Roman;Times;serif"/>
          <w:b/>
          <w:sz w:val="20"/>
        </w:rPr>
        <w:t>RIGHTS AND REMEDIES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an event of default exists, Lender may terminate this Agreement and declare the outstanding balance of the Loan immediately due and payable. Lender’s rights and remedies under this Agreement and all other agreements shall be cumulative. No exercise by Lender of one right or remedy shall be deemed an election of, or waiver of, any other right or remedy.</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w:t>
      </w:r>
      <w:r>
        <w:rPr>
          <w:rFonts w:ascii="Times New Roman;Times;serif" w:hAnsi="Times New Roman;Times;serif"/>
          <w:b/>
          <w:sz w:val="20"/>
        </w:rPr>
        <w:t>RELATIONSHIP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8.1</w:t>
      </w:r>
      <w:r>
        <w:rPr>
          <w:rFonts w:ascii="Times New Roman;Times;serif" w:hAnsi="Times New Roman;Times;serif"/>
          <w:b/>
          <w:sz w:val="20"/>
        </w:rPr>
        <w:t xml:space="preserve">Independent Organizations. </w:t>
      </w:r>
      <w:r>
        <w:rPr>
          <w:rFonts w:ascii="Times New Roman;Times;serif" w:hAnsi="Times New Roman;Times;serif"/>
          <w:sz w:val="20"/>
        </w:rPr>
        <w:t>Lender and Borrower are separate corporate entities and independent contracting parties. Borrower acknowledges that the conduct of Borrower and its employees and agents, and any other legal obligations of Borrower, are the sole responsibility of Borrower. This Agreement and its performance will not create a partnership, joint venture, employment, fiduciary, or similar relationship for any purpose.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8.2</w:t>
      </w:r>
      <w:r>
        <w:rPr>
          <w:rFonts w:ascii="Times New Roman;Times;serif" w:hAnsi="Times New Roman;Times;serif"/>
          <w:b/>
          <w:sz w:val="20"/>
        </w:rPr>
        <w:t xml:space="preserve">Confidentiality. </w:t>
      </w:r>
      <w:r>
        <w:rPr>
          <w:rFonts w:ascii="Times New Roman;Times;serif" w:hAnsi="Times New Roman;Times;serif"/>
          <w:sz w:val="20"/>
        </w:rPr>
        <w:t>Each party shall keep confidential and shall not disclose or use for its benefit or the benefit of any third party, other than in connection with its activities under this Agreement, any confidential information obtained from the other party, without obtaining the other party’s prior written consent, except to the extent that such confidential information is required to be disclosed by law. Confidential information does not include information that: (i) is or becomes generally available to the public other than as a result of a disclosure by either party; (ii) was known by either party before being furnished by the other party; (iii) is independently developed by either party without use, directly or indirectly, of any confidential information or (iv) is or becomes available to either party on a non-confidential basis from a source other than the other party.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8.3</w:t>
      </w:r>
      <w:r>
        <w:rPr>
          <w:rFonts w:ascii="Times New Roman;Times;serif" w:hAnsi="Times New Roman;Times;serif"/>
          <w:b/>
          <w:sz w:val="20"/>
        </w:rPr>
        <w:t xml:space="preserve">Indemnification. </w:t>
      </w:r>
      <w:r>
        <w:rPr>
          <w:rFonts w:ascii="Times New Roman;Times;serif" w:hAnsi="Times New Roman;Times;serif"/>
          <w:sz w:val="20"/>
        </w:rPr>
        <w:t>Borrower shall defend, indemnify, and hold Lender, and its directors, officers, employees, agents, and affiliates, harmless from and against any and all claims, liabilities, losses, damages, and expenses, including, without limitation, reasonable attorneys’ fees and expenses, that may arise, directly or indirectly, from (i) any breach by Borrower of its obligations under this Agreement; or (ii) any other act or omission by Borrower. Borrower shall have no obligation to indemnify Lender to the extent the liability is solely caused by Lender’s gross negligence or willful misconduct.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8.4</w:t>
      </w:r>
      <w:r>
        <w:rPr>
          <w:rFonts w:ascii="Times New Roman;Times;serif" w:hAnsi="Times New Roman;Times;serif"/>
          <w:b/>
          <w:sz w:val="20"/>
        </w:rPr>
        <w:t xml:space="preserve">Inspection. </w:t>
      </w:r>
      <w:r>
        <w:rPr>
          <w:rFonts w:ascii="Times New Roman;Times;serif" w:hAnsi="Times New Roman;Times;serif"/>
          <w:sz w:val="20"/>
        </w:rPr>
        <w:t>Borrower shall permit Lender, or any persons designated by Lender, at any reasonable time, to inspect Borrower’s facilities and to inspect, audit, examine and make copies of Borrower’s books, records, and accounts.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w:t>
      </w:r>
      <w:r>
        <w:rPr>
          <w:rFonts w:ascii="Times New Roman;Times;serif" w:hAnsi="Times New Roman;Times;serif"/>
          <w:b/>
          <w:sz w:val="20"/>
        </w:rPr>
        <w:t>GENERAL PROVISIONS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9.1</w:t>
      </w:r>
      <w:r>
        <w:rPr>
          <w:rFonts w:ascii="Times New Roman;Times;serif" w:hAnsi="Times New Roman;Times;serif"/>
          <w:b/>
          <w:sz w:val="20"/>
        </w:rPr>
        <w:t xml:space="preserve">Entire Agreement. </w:t>
      </w:r>
      <w:r>
        <w:rPr>
          <w:rFonts w:ascii="Times New Roman;Times;serif" w:hAnsi="Times New Roman;Times;serif"/>
          <w:sz w:val="20"/>
        </w:rPr>
        <w:t>This Agreement is the entire agreement between Lender and Borrower and supersedes all prior or contemporaneous communications, representations, understandings, and agreements, either oral or written, relating to the lending relationship contemplated by the subject matter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9.2</w:t>
      </w:r>
      <w:r>
        <w:rPr>
          <w:rFonts w:ascii="Times New Roman;Times;serif" w:hAnsi="Times New Roman;Times;serif"/>
          <w:b/>
          <w:sz w:val="20"/>
        </w:rPr>
        <w:t xml:space="preserve">Governing Law. </w:t>
      </w:r>
      <w:r>
        <w:rPr>
          <w:rFonts w:ascii="Times New Roman;Times;serif" w:hAnsi="Times New Roman;Times;serif"/>
          <w:sz w:val="20"/>
        </w:rPr>
        <w:t>This Agreement shall be governed by the laws of the State of North Carolina.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9.3</w:t>
      </w:r>
      <w:r>
        <w:rPr>
          <w:rFonts w:ascii="Times New Roman;Times;serif" w:hAnsi="Times New Roman;Times;serif"/>
          <w:b/>
          <w:sz w:val="20"/>
        </w:rPr>
        <w:t xml:space="preserve">Assignment. </w:t>
      </w:r>
      <w:r>
        <w:rPr>
          <w:rFonts w:ascii="Times New Roman;Times;serif" w:hAnsi="Times New Roman;Times;serif"/>
          <w:sz w:val="20"/>
        </w:rPr>
        <w:t>Borrower will not assign its rights or delegate its duties under this Agreement without first obtaining the written consent of Lender. For purposes of this Agreement, an assignment includes, without limitation, a merger in which Lender is not the surviving entity; a consolidation involving Borrower; any amendment to Borrower’s Articles of Incorporation or Bylaws, issuance by Borrower or sale or other transfer by holders of shares or other equity interests in Borrower, or any other action that has the effect of transferring to a single entity or person the power to elect a majority of the Borrower’s Board of Directors.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9.4</w:t>
      </w:r>
      <w:r>
        <w:rPr>
          <w:rFonts w:ascii="Times New Roman;Times;serif" w:hAnsi="Times New Roman;Times;serif"/>
          <w:b/>
          <w:sz w:val="20"/>
        </w:rPr>
        <w:t xml:space="preserve">Waiver. </w:t>
      </w:r>
      <w:r>
        <w:rPr>
          <w:rFonts w:ascii="Times New Roman;Times;serif" w:hAnsi="Times New Roman;Times;serif"/>
          <w:sz w:val="20"/>
        </w:rPr>
        <w:t>Any waiver of the provisions of this Agreement or of Lender’s or Borrower’s rights or remedies under this Agreement must be in writing and signed by the waiving party to be effective. Failure, neglect, or delay by Lender at any time to enforce the provisions of this Agreement or its rights or remedies will not be construed as a waiver of its rights, powers, or remedies under this Agreement. Waiver of any breach or provision of this Agreement, including, without limitation, any Event of Default, will not be considered a waiver of any later breach or of the right to enforce any provision of this Agreement. Borrower waives diligence, presentment, protest, demand and notice of any kind.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9.5</w:t>
      </w:r>
      <w:r>
        <w:rPr>
          <w:rFonts w:ascii="Times New Roman;Times;serif" w:hAnsi="Times New Roman;Times;serif"/>
          <w:b/>
          <w:sz w:val="20"/>
        </w:rPr>
        <w:t xml:space="preserve">Severability. </w:t>
      </w:r>
      <w:r>
        <w:rPr>
          <w:rFonts w:ascii="Times New Roman;Times;serif" w:hAnsi="Times New Roman;Times;serif"/>
          <w:sz w:val="20"/>
        </w:rPr>
        <w:t>If any provision of this Agreement is held illegal, invalid, or unenforceable, all other provisions of this Agreement will nevertheless be effective, and the illegal, invalid, or unenforceable provision will be considered modified such that it is valid to the maximum extent permitted by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9.6</w:t>
      </w:r>
      <w:r>
        <w:rPr>
          <w:rFonts w:ascii="Times New Roman;Times;serif" w:hAnsi="Times New Roman;Times;serif"/>
          <w:b/>
          <w:sz w:val="20"/>
        </w:rPr>
        <w:t xml:space="preserve">Amendments. </w:t>
      </w:r>
      <w:r>
        <w:rPr>
          <w:rFonts w:ascii="Times New Roman;Times;serif" w:hAnsi="Times New Roman;Times;serif"/>
          <w:sz w:val="20"/>
        </w:rPr>
        <w:t>This Agreement may be amended only as stated in a written document signed by both Lender and Borrower which states that it is an amendment to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9.7</w:t>
      </w:r>
      <w:r>
        <w:rPr>
          <w:rFonts w:ascii="Times New Roman;Times;serif" w:hAnsi="Times New Roman;Times;serif"/>
          <w:b/>
          <w:sz w:val="20"/>
        </w:rPr>
        <w:t xml:space="preserve">Notices. </w:t>
      </w:r>
      <w:r>
        <w:rPr>
          <w:rFonts w:ascii="Times New Roman;Times;serif" w:hAnsi="Times New Roman;Times;serif"/>
          <w:sz w:val="20"/>
        </w:rPr>
        <w:t>Any notices, approvals, consents or other communications required to be given by either party pursuant to this Agreement shall be in writing and delivered by mail, courier, e-mail message, or fax to the addresses set out on the signature page. These addresses may be changed by written notice to the other party.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9.8</w:t>
      </w:r>
      <w:r>
        <w:rPr>
          <w:rFonts w:ascii="Times New Roman;Times;serif" w:hAnsi="Times New Roman;Times;serif"/>
          <w:b/>
          <w:sz w:val="20"/>
        </w:rPr>
        <w:t xml:space="preserve">Counterparts. </w:t>
      </w:r>
      <w:r>
        <w:rPr>
          <w:rFonts w:ascii="Times New Roman;Times;serif" w:hAnsi="Times New Roman;Times;serif"/>
          <w:sz w:val="20"/>
        </w:rPr>
        <w:t>This Agreement may be executed in one or more counterparts, each of which will be deemed an original and all of which will be taken together and deemed to be one instrument. Transmission by fax or PDF of executed counterparts will constitute effective delivery.</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 * * * * * * *</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Lender and Borrower signed this Agreement as of the date set out in its first paragraph.</w:t>
      </w:r>
    </w:p>
    <w:tbl>
      <w:tblPr>
        <w:tblW w:w="4435" w:type="dxa"/>
        <w:jc w:val="left"/>
        <w:tblInd w:w="0" w:type="dxa"/>
        <w:tblLayout w:type="fixed"/>
        <w:tblCellMar>
          <w:top w:w="0" w:type="dxa"/>
          <w:left w:w="0" w:type="dxa"/>
          <w:bottom w:w="0" w:type="dxa"/>
          <w:right w:w="0" w:type="dxa"/>
        </w:tblCellMar>
      </w:tblPr>
      <w:tblGrid>
        <w:gridCol w:w="124"/>
        <w:gridCol w:w="4311"/>
      </w:tblGrid>
      <w:tr>
        <w:trPr/>
        <w:tc>
          <w:tcPr>
            <w:tcW w:w="124" w:type="dxa"/>
            <w:tcBorders/>
            <w:vAlign w:val="center"/>
          </w:tcPr>
          <w:p>
            <w:pPr>
              <w:pStyle w:val="TableContents"/>
              <w:bidi w:val="0"/>
              <w:spacing w:before="0" w:after="0"/>
              <w:ind w:left="0" w:right="0" w:hanging="0"/>
              <w:jc w:val="left"/>
              <w:rPr/>
            </w:pPr>
            <w:r>
              <w:rPr/>
              <w:t>​</w:t>
            </w:r>
          </w:p>
        </w:tc>
        <w:tc>
          <w:tcPr>
            <w:tcW w:w="4311" w:type="dxa"/>
            <w:tcBorders/>
            <w:vAlign w:val="center"/>
          </w:tcPr>
          <w:p>
            <w:pPr>
              <w:pStyle w:val="TableContents"/>
              <w:bidi w:val="0"/>
              <w:spacing w:before="0" w:after="0"/>
              <w:ind w:left="0" w:right="0" w:hanging="0"/>
              <w:jc w:val="left"/>
              <w:rPr/>
            </w:pPr>
            <w:r>
              <w:rPr/>
              <w:drawing>
                <wp:inline distT="0" distB="0" distL="0" distR="0">
                  <wp:extent cx="2654300" cy="2560320"/>
                  <wp:effectExtent l="0" t="0" r="0" b="0"/>
                  <wp:docPr id="65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 name="Image3" descr=""/>
                          <pic:cNvPicPr>
                            <a:picLocks noChangeAspect="1" noChangeArrowheads="1"/>
                          </pic:cNvPicPr>
                        </pic:nvPicPr>
                        <pic:blipFill>
                          <a:blip r:embed="rId18"/>
                          <a:stretch>
                            <a:fillRect/>
                          </a:stretch>
                        </pic:blipFill>
                        <pic:spPr bwMode="auto">
                          <a:xfrm>
                            <a:off x="0" y="0"/>
                            <a:ext cx="2654300" cy="2560320"/>
                          </a:xfrm>
                          <a:prstGeom prst="rect">
                            <a:avLst/>
                          </a:prstGeom>
                        </pic:spPr>
                      </pic:pic>
                    </a:graphicData>
                  </a:graphic>
                </wp:inline>
              </w:drawing>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1439" w:name="ctnt-20260630xex10d13.htm"/>
      <w:bookmarkStart w:id="1440" w:name="ksctnt20260630xex10d13"/>
      <w:bookmarkEnd w:id="1439"/>
      <w:bookmarkEnd w:id="1440"/>
      <w:r>
        <w:rPr/>
        <w:t>​</w:t>
      </w:r>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10.13</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LOAN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THIS LOAN AGREEMENT </w:t>
      </w:r>
      <w:r>
        <w:rPr>
          <w:rFonts w:ascii="Times New Roman;Times;serif" w:hAnsi="Times New Roman;Times;serif"/>
          <w:sz w:val="20"/>
        </w:rPr>
        <w:t>(“Agreement”) is entered into as of May 21, 2026, by and between Cheetah Net Supply Chain Service Inc., a North Carolina corporation (“Lender”), and Asia Finance Investment Limited. (“Borrower”).</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RECITALS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Borrower desires to borrow from Lender, and Lender agrees to loan to Borrower, the Loan amounts described below.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NOW, THEREFORE, Lender and Borrower agree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w:t>
      </w:r>
      <w:r>
        <w:rPr>
          <w:rFonts w:ascii="Times New Roman;Times;serif" w:hAnsi="Times New Roman;Times;serif"/>
          <w:b/>
          <w:sz w:val="20"/>
        </w:rPr>
        <w:t>LOAN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1.1</w:t>
      </w:r>
      <w:r>
        <w:rPr>
          <w:rFonts w:ascii="Times New Roman;Times;serif" w:hAnsi="Times New Roman;Times;serif"/>
          <w:b/>
          <w:sz w:val="20"/>
        </w:rPr>
        <w:t xml:space="preserve">Loan. </w:t>
      </w:r>
      <w:r>
        <w:rPr>
          <w:rFonts w:ascii="Times New Roman;Times;serif" w:hAnsi="Times New Roman;Times;serif"/>
          <w:sz w:val="20"/>
        </w:rPr>
        <w:t>Lender agrees to lend to Borrower and Borrower agrees to borrow from Lender the principal amount of Six Hundred Thousand Dollars ($600,000) (the “Loan”).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1.2</w:t>
      </w:r>
      <w:r>
        <w:rPr>
          <w:rFonts w:ascii="Times New Roman;Times;serif" w:hAnsi="Times New Roman;Times;serif"/>
          <w:b/>
          <w:sz w:val="20"/>
        </w:rPr>
        <w:t xml:space="preserve">Interest. </w:t>
      </w:r>
      <w:r>
        <w:rPr>
          <w:rFonts w:ascii="Times New Roman;Times;serif" w:hAnsi="Times New Roman;Times;serif"/>
          <w:sz w:val="20"/>
        </w:rPr>
        <w:t>Except as provided in Section 1.4, the Loan shall bear interest at an annual rate of 5%, calculated on the basis of a 360-day year for the actual number of days for which interest is calculated.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1.3</w:t>
      </w:r>
      <w:r>
        <w:rPr>
          <w:rFonts w:ascii="Times New Roman;Times;serif" w:hAnsi="Times New Roman;Times;serif"/>
          <w:b/>
          <w:sz w:val="20"/>
        </w:rPr>
        <w:t xml:space="preserve">Payment Schedule. </w:t>
      </w:r>
      <w:r>
        <w:rPr>
          <w:rFonts w:ascii="Times New Roman;Times;serif" w:hAnsi="Times New Roman;Times;serif"/>
          <w:sz w:val="20"/>
        </w:rPr>
        <w:t>The Borrower shall repay the Loan and the Interest in a single lump sum on the date twelve months after the Lender has disbursed the Loan (the “Maturity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1.4</w:t>
      </w:r>
      <w:r>
        <w:rPr>
          <w:rFonts w:ascii="Times New Roman;Times;serif" w:hAnsi="Times New Roman;Times;serif"/>
          <w:b/>
          <w:sz w:val="20"/>
        </w:rPr>
        <w:t xml:space="preserve">Overdue Payments. </w:t>
      </w:r>
      <w:r>
        <w:rPr>
          <w:rFonts w:ascii="Times New Roman;Times;serif" w:hAnsi="Times New Roman;Times;serif"/>
          <w:sz w:val="20"/>
        </w:rPr>
        <w:t>Any overdue payments or unpaid portions of such payments under this Loan shall bear interest, payable on demand, at an annual rate of 7.5%, until repaid by Borrower; provided, however, that the aggregate rate of interest shall not exceed the maximum permissible interest rate under applicable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1.5</w:t>
      </w:r>
      <w:r>
        <w:rPr>
          <w:rFonts w:ascii="Times New Roman;Times;serif" w:hAnsi="Times New Roman;Times;serif"/>
          <w:b/>
          <w:sz w:val="20"/>
        </w:rPr>
        <w:t xml:space="preserve">Disbursement by Lender. </w:t>
      </w:r>
      <w:r>
        <w:rPr>
          <w:rFonts w:ascii="Times New Roman;Times;serif" w:hAnsi="Times New Roman;Times;serif"/>
          <w:sz w:val="20"/>
        </w:rPr>
        <w:t>Lender will pay the Loan to Borrower via wire transfer to the following account at such time after the execution of this Agreement as Lender in its sole discretion may determine.</w:t>
      </w:r>
    </w:p>
    <w:p>
      <w:pPr>
        <w:pStyle w:val="TextBody"/>
        <w:bidi w:val="0"/>
        <w:spacing w:before="0" w:after="9"/>
        <w:ind w:left="576" w:right="0" w:hanging="0"/>
        <w:jc w:val="left"/>
        <w:rPr>
          <w:rFonts w:ascii="Times New Roman;Times;serif" w:hAnsi="Times New Roman;Times;serif"/>
          <w:sz w:val="20"/>
        </w:rPr>
      </w:pPr>
      <w:r>
        <w:rPr>
          <w:rFonts w:ascii="Times New Roman;Times;serif" w:hAnsi="Times New Roman;Times;serif"/>
          <w:sz w:val="20"/>
        </w:rPr>
        <w:t>Beneficiary Bank</w:t>
      </w:r>
    </w:p>
    <w:p>
      <w:pPr>
        <w:pStyle w:val="TextBody"/>
        <w:bidi w:val="0"/>
        <w:spacing w:before="0" w:after="240"/>
        <w:ind w:left="576" w:right="0" w:hanging="0"/>
        <w:jc w:val="left"/>
        <w:rPr>
          <w:rFonts w:ascii="Times New Roman;Times;serif" w:hAnsi="Times New Roman;Times;serif"/>
          <w:sz w:val="20"/>
        </w:rPr>
      </w:pPr>
      <w:r>
        <w:rPr>
          <w:rFonts w:ascii="Times New Roman;Times;serif" w:hAnsi="Times New Roman;Times;serif"/>
          <w:sz w:val="20"/>
        </w:rPr>
        <w:t xml:space="preserve">SWIFT Code </w:t>
        <w:br/>
        <w:t xml:space="preserve">Bank Name: </w:t>
        <w:br/>
        <w:t>Address:</w:t>
      </w:r>
    </w:p>
    <w:p>
      <w:pPr>
        <w:pStyle w:val="TextBody"/>
        <w:bidi w:val="0"/>
        <w:spacing w:before="0" w:after="2"/>
        <w:ind w:left="576" w:right="0" w:hanging="0"/>
        <w:jc w:val="left"/>
        <w:rPr>
          <w:rFonts w:ascii="Times New Roman;Times;serif" w:hAnsi="Times New Roman;Times;serif"/>
          <w:sz w:val="20"/>
        </w:rPr>
      </w:pPr>
      <w:r>
        <w:rPr>
          <w:rFonts w:ascii="Times New Roman;Times;serif" w:hAnsi="Times New Roman;Times;serif"/>
          <w:sz w:val="20"/>
        </w:rPr>
        <w:t>Beneficiary Party</w:t>
      </w:r>
    </w:p>
    <w:p>
      <w:pPr>
        <w:pStyle w:val="TextBody"/>
        <w:bidi w:val="0"/>
        <w:spacing w:before="0" w:after="3"/>
        <w:ind w:left="576" w:right="0" w:hanging="0"/>
        <w:jc w:val="left"/>
        <w:rPr>
          <w:rFonts w:ascii="Times New Roman;Times;serif" w:hAnsi="Times New Roman;Times;serif"/>
          <w:sz w:val="20"/>
        </w:rPr>
      </w:pPr>
      <w:r>
        <w:rPr>
          <w:rFonts w:ascii="Times New Roman;Times;serif" w:hAnsi="Times New Roman;Times;serif"/>
          <w:sz w:val="20"/>
        </w:rPr>
        <w:t>Name:</w:t>
      </w:r>
    </w:p>
    <w:p>
      <w:pPr>
        <w:pStyle w:val="TextBody"/>
        <w:bidi w:val="0"/>
        <w:spacing w:before="0" w:after="240"/>
        <w:ind w:left="576" w:right="0" w:hanging="0"/>
        <w:jc w:val="left"/>
        <w:rPr>
          <w:rFonts w:ascii="Times New Roman;Times;serif" w:hAnsi="Times New Roman;Times;serif"/>
          <w:sz w:val="20"/>
        </w:rPr>
      </w:pPr>
      <w:r>
        <w:rPr>
          <w:rFonts w:ascii="Times New Roman;Times;serif" w:hAnsi="Times New Roman;Times;serif"/>
          <w:sz w:val="20"/>
        </w:rPr>
        <w:t>Account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1.6</w:t>
      </w:r>
      <w:r>
        <w:rPr>
          <w:rFonts w:ascii="Times New Roman;Times;serif" w:hAnsi="Times New Roman;Times;serif"/>
          <w:b/>
          <w:sz w:val="20"/>
        </w:rPr>
        <w:t xml:space="preserve">Payments by Borrower. </w:t>
      </w:r>
      <w:r>
        <w:rPr>
          <w:rFonts w:ascii="Times New Roman;Times;serif" w:hAnsi="Times New Roman;Times;serif"/>
          <w:sz w:val="20"/>
        </w:rPr>
        <w:t>Borrower shall make payments to Lender via wire transfer to an account specified by Lender.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1.7</w:t>
      </w:r>
      <w:r>
        <w:rPr>
          <w:rFonts w:ascii="Times New Roman;Times;serif" w:hAnsi="Times New Roman;Times;serif"/>
          <w:b/>
          <w:sz w:val="20"/>
        </w:rPr>
        <w:t xml:space="preserve">Computations and Records. </w:t>
      </w:r>
      <w:r>
        <w:rPr>
          <w:rFonts w:ascii="Times New Roman;Times;serif" w:hAnsi="Times New Roman;Times;serif"/>
          <w:sz w:val="20"/>
        </w:rPr>
        <w:t>Lender shall record the date and amount of each payment by Borrower, and the resulting balance of the Loan. Borrower acknowledges and agrees that Lender’s books and records relating to the transactions of this Agreement, including, without limitation, interest computations, shall be deemed correct, accurate and binding on Borrower.</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REPRESENTATIONS AND WARRANTIES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Borrower represents and warrants to Lender the following: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2.1</w:t>
      </w:r>
      <w:r>
        <w:rPr>
          <w:rFonts w:ascii="Times New Roman;Times;serif" w:hAnsi="Times New Roman;Times;serif"/>
          <w:b/>
          <w:sz w:val="20"/>
        </w:rPr>
        <w:t xml:space="preserve">Due Organization and Qualification. </w:t>
      </w:r>
      <w:r>
        <w:rPr>
          <w:rFonts w:ascii="Times New Roman;Times;serif" w:hAnsi="Times New Roman;Times;serif"/>
          <w:sz w:val="20"/>
        </w:rPr>
        <w:t>Borrower is a corporation duly organized, validly existing, and in good standing under the laws of the state in which it is incorporated.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2.2</w:t>
      </w:r>
      <w:r>
        <w:rPr>
          <w:rFonts w:ascii="Times New Roman;Times;serif" w:hAnsi="Times New Roman;Times;serif"/>
          <w:b/>
          <w:sz w:val="20"/>
        </w:rPr>
        <w:t xml:space="preserve">Due Authorization; No Conflict. </w:t>
      </w:r>
      <w:r>
        <w:rPr>
          <w:rFonts w:ascii="Times New Roman;Times;serif" w:hAnsi="Times New Roman;Times;serif"/>
          <w:sz w:val="20"/>
        </w:rPr>
        <w:t>The execution, delivery, and performance of the Agreement is within Borrower’s corporate powers, has been authorized by Borrower’s Board of Directors, will not conflict with or breach any provision of Borrower’s Articles of Incorporation or Bylaws, and will not create or result in a breach or default under any contract or any law, regulation, or order by which Borrower is bound.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2.3</w:t>
      </w:r>
      <w:r>
        <w:rPr>
          <w:rFonts w:ascii="Times New Roman;Times;serif" w:hAnsi="Times New Roman;Times;serif"/>
          <w:b/>
          <w:sz w:val="20"/>
        </w:rPr>
        <w:t xml:space="preserve">Enforceable Agreement. </w:t>
      </w:r>
      <w:r>
        <w:rPr>
          <w:rFonts w:ascii="Times New Roman;Times;serif" w:hAnsi="Times New Roman;Times;serif"/>
          <w:sz w:val="20"/>
        </w:rPr>
        <w:t>This Agreement has been duly executed and delivered by Borrower and is the legal, valid, and binding obligation of Borrower, enforceable against it in accordance with its terms.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2.4</w:t>
      </w:r>
      <w:r>
        <w:rPr>
          <w:rFonts w:ascii="Times New Roman;Times;serif" w:hAnsi="Times New Roman;Times;serif"/>
          <w:b/>
          <w:sz w:val="20"/>
        </w:rPr>
        <w:t xml:space="preserve">Compliance with Law. </w:t>
      </w:r>
      <w:r>
        <w:rPr>
          <w:rFonts w:ascii="Times New Roman;Times;serif" w:hAnsi="Times New Roman;Times;serif"/>
          <w:sz w:val="20"/>
        </w:rPr>
        <w:t>Borrower is not in violation of any law, regulation, order or agreement, the consequences of which could reasonably be expected to have a material adverse effect on Borrower.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AFFIRMATIVE COVENANTS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3.1</w:t>
      </w:r>
      <w:r>
        <w:rPr>
          <w:rFonts w:ascii="Times New Roman;Times;serif" w:hAnsi="Times New Roman;Times;serif"/>
          <w:b/>
          <w:sz w:val="20"/>
        </w:rPr>
        <w:t xml:space="preserve">Good Standing. </w:t>
      </w:r>
      <w:r>
        <w:rPr>
          <w:rFonts w:ascii="Times New Roman;Times;serif" w:hAnsi="Times New Roman;Times;serif"/>
          <w:sz w:val="20"/>
        </w:rPr>
        <w:t>Borrower shall remain in good standing as a corporation in the jurisdiction of its incorporation.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3.2</w:t>
      </w:r>
      <w:r>
        <w:rPr>
          <w:rFonts w:ascii="Times New Roman;Times;serif" w:hAnsi="Times New Roman;Times;serif"/>
          <w:b/>
          <w:sz w:val="20"/>
        </w:rPr>
        <w:t xml:space="preserve">Compliance with Law. </w:t>
      </w:r>
      <w:r>
        <w:rPr>
          <w:rFonts w:ascii="Times New Roman;Times;serif" w:hAnsi="Times New Roman;Times;serif"/>
          <w:sz w:val="20"/>
        </w:rPr>
        <w:t>Borrower shall comply with all laws, regulations, and orders applicable to 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3.3</w:t>
      </w:r>
      <w:r>
        <w:rPr>
          <w:rFonts w:ascii="Times New Roman;Times;serif" w:hAnsi="Times New Roman;Times;serif"/>
          <w:b/>
          <w:sz w:val="20"/>
        </w:rPr>
        <w:t xml:space="preserve">Maintenance of Property. </w:t>
      </w:r>
      <w:r>
        <w:rPr>
          <w:rFonts w:ascii="Times New Roman;Times;serif" w:hAnsi="Times New Roman;Times;serif"/>
          <w:sz w:val="20"/>
        </w:rPr>
        <w:t>Borrower shall maintain all of its property necessary and useful in the conduct of its business in good operating condition and repair, ordinary wear and tear excepted.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3.4</w:t>
      </w:r>
      <w:r>
        <w:rPr>
          <w:rFonts w:ascii="Times New Roman;Times;serif" w:hAnsi="Times New Roman;Times;serif"/>
          <w:b/>
          <w:sz w:val="20"/>
        </w:rPr>
        <w:t xml:space="preserve">Insurance. </w:t>
      </w:r>
      <w:r>
        <w:rPr>
          <w:rFonts w:ascii="Times New Roman;Times;serif" w:hAnsi="Times New Roman;Times;serif"/>
          <w:sz w:val="20"/>
        </w:rPr>
        <w:t>Borrower shall maintain and keep in force insurance of the types and amounts customarily carried in its line of business, including, without limitation, fire, public liability, property damage and workers’ compensation.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w:t>
      </w:r>
      <w:r>
        <w:rPr>
          <w:rFonts w:ascii="Times New Roman;Times;serif" w:hAnsi="Times New Roman;Times;serif"/>
          <w:b/>
          <w:sz w:val="20"/>
        </w:rPr>
        <w:t>REPORTING COVENANTS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4.1</w:t>
      </w:r>
      <w:r>
        <w:rPr>
          <w:rFonts w:ascii="Times New Roman;Times;serif" w:hAnsi="Times New Roman;Times;serif"/>
          <w:b/>
          <w:sz w:val="20"/>
        </w:rPr>
        <w:t xml:space="preserve">Notice to Lender. </w:t>
      </w:r>
      <w:r>
        <w:rPr>
          <w:rFonts w:ascii="Times New Roman;Times;serif" w:hAnsi="Times New Roman;Times;serif"/>
          <w:sz w:val="20"/>
        </w:rPr>
        <w:t>Borrower shall promptly notify Lender of:</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any material change to Borrower’s financial condition or corporate status;</w:t>
      </w:r>
    </w:p>
    <w:tbl>
      <w:tblPr>
        <w:tblW w:w="10205" w:type="dxa"/>
        <w:jc w:val="left"/>
        <w:tblInd w:w="0" w:type="dxa"/>
        <w:tblLayout w:type="fixed"/>
        <w:tblCellMar>
          <w:top w:w="0" w:type="dxa"/>
          <w:left w:w="0" w:type="dxa"/>
          <w:bottom w:w="0" w:type="dxa"/>
          <w:right w:w="0" w:type="dxa"/>
        </w:tblCellMar>
      </w:tblPr>
      <w:tblGrid>
        <w:gridCol w:w="23"/>
        <w:gridCol w:w="239"/>
        <w:gridCol w:w="9943"/>
      </w:tblGrid>
      <w:tr>
        <w:trPr/>
        <w:tc>
          <w:tcPr>
            <w:tcW w:w="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w:t>
            </w:r>
          </w:p>
        </w:tc>
        <w:tc>
          <w:tcPr>
            <w:tcW w:w="99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legal or regulatory action, proceeding or investigation threatened or instituted against Borrower that could reasonably be expected to have a material adverse effect on Borrower;</w:t>
            </w:r>
          </w:p>
        </w:tc>
      </w:tr>
    </w:tbl>
    <w:tbl>
      <w:tblPr>
        <w:tblW w:w="6948" w:type="dxa"/>
        <w:jc w:val="left"/>
        <w:tblInd w:w="0" w:type="dxa"/>
        <w:tblLayout w:type="fixed"/>
        <w:tblCellMar>
          <w:top w:w="0" w:type="dxa"/>
          <w:left w:w="0" w:type="dxa"/>
          <w:bottom w:w="0" w:type="dxa"/>
          <w:right w:w="0" w:type="dxa"/>
        </w:tblCellMar>
      </w:tblPr>
      <w:tblGrid>
        <w:gridCol w:w="23"/>
        <w:gridCol w:w="320"/>
        <w:gridCol w:w="660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(iii)</w:t>
            </w:r>
          </w:p>
        </w:tc>
        <w:tc>
          <w:tcPr>
            <w:tcW w:w="660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substantial damage to or destruction of Borrower’s business facilities or premises;</w:t>
            </w:r>
          </w:p>
        </w:tc>
      </w:tr>
    </w:tbl>
    <w:tbl>
      <w:tblPr>
        <w:tblW w:w="9933" w:type="dxa"/>
        <w:jc w:val="left"/>
        <w:tblInd w:w="0" w:type="dxa"/>
        <w:tblLayout w:type="fixed"/>
        <w:tblCellMar>
          <w:top w:w="0" w:type="dxa"/>
          <w:left w:w="0" w:type="dxa"/>
          <w:bottom w:w="0" w:type="dxa"/>
          <w:right w:w="0" w:type="dxa"/>
        </w:tblCellMar>
      </w:tblPr>
      <w:tblGrid>
        <w:gridCol w:w="23"/>
        <w:gridCol w:w="305"/>
        <w:gridCol w:w="9605"/>
      </w:tblGrid>
      <w:tr>
        <w:trPr/>
        <w:tc>
          <w:tcPr>
            <w:tcW w:w="2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(iv)</w:t>
            </w:r>
          </w:p>
        </w:tc>
        <w:tc>
          <w:tcPr>
            <w:tcW w:w="960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event of default under this Agreement, or any event that with lapse of time would constitute an event of default; or</w:t>
            </w:r>
          </w:p>
        </w:tc>
      </w:tr>
    </w:tbl>
    <w:tbl>
      <w:tblPr>
        <w:tblW w:w="7083" w:type="dxa"/>
        <w:jc w:val="left"/>
        <w:tblInd w:w="0" w:type="dxa"/>
        <w:tblLayout w:type="fixed"/>
        <w:tblCellMar>
          <w:top w:w="0" w:type="dxa"/>
          <w:left w:w="0" w:type="dxa"/>
          <w:bottom w:w="0" w:type="dxa"/>
          <w:right w:w="0" w:type="dxa"/>
        </w:tblCellMar>
      </w:tblPr>
      <w:tblGrid>
        <w:gridCol w:w="23"/>
        <w:gridCol w:w="245"/>
        <w:gridCol w:w="681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(v)</w:t>
            </w:r>
          </w:p>
        </w:tc>
        <w:tc>
          <w:tcPr>
            <w:tcW w:w="681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other development that has or could have a material adverse effect on Borrower.</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w:t>
      </w:r>
      <w:r>
        <w:rPr>
          <w:rFonts w:ascii="Times New Roman;Times;serif" w:hAnsi="Times New Roman;Times;serif"/>
          <w:b/>
          <w:sz w:val="20"/>
        </w:rPr>
        <w:t>NEGATIVE COVENANTS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5.1</w:t>
      </w:r>
      <w:r>
        <w:rPr>
          <w:rFonts w:ascii="Times New Roman;Times;serif" w:hAnsi="Times New Roman;Times;serif"/>
          <w:b/>
          <w:sz w:val="20"/>
        </w:rPr>
        <w:t xml:space="preserve">Additional Debt. </w:t>
      </w:r>
      <w:r>
        <w:rPr>
          <w:rFonts w:ascii="Times New Roman;Times;serif" w:hAnsi="Times New Roman;Times;serif"/>
          <w:sz w:val="20"/>
        </w:rPr>
        <w:t>Borrower shall not borrow money from other parties without first disclosing the proposed borrowing to Lender.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5.2</w:t>
      </w:r>
      <w:r>
        <w:rPr>
          <w:rFonts w:ascii="Times New Roman;Times;serif" w:hAnsi="Times New Roman;Times;serif"/>
          <w:b/>
          <w:sz w:val="20"/>
        </w:rPr>
        <w:t xml:space="preserve">Liens. </w:t>
      </w:r>
      <w:r>
        <w:rPr>
          <w:rFonts w:ascii="Times New Roman;Times;serif" w:hAnsi="Times New Roman;Times;serif"/>
          <w:sz w:val="20"/>
        </w:rPr>
        <w:t>Borrower shall not create, assume, or allow any security interest or lien on property that Borrower now or later owns except: (i) liens and security interests in favor of Lender; (ii) liens for taxes not yet due; (iii) liens outstanding on the date of this Agreement disclosed in writing to Lender; (iv) liens arising by operation of law; and (v) liens arising in the ordinary course of Borrower’s business securing amounts Borrower owes in the operation of its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5.3</w:t>
      </w:r>
      <w:r>
        <w:rPr>
          <w:rFonts w:ascii="Times New Roman;Times;serif" w:hAnsi="Times New Roman;Times;serif"/>
          <w:b/>
          <w:sz w:val="20"/>
        </w:rPr>
        <w:t xml:space="preserve">Sale of Assets; Change of Control; Mergers. </w:t>
      </w:r>
      <w:r>
        <w:rPr>
          <w:rFonts w:ascii="Times New Roman;Times;serif" w:hAnsi="Times New Roman;Times;serif"/>
          <w:sz w:val="20"/>
        </w:rPr>
        <w:t>Borrower shall not, without Lender’s prior written consent: (i) sell, lease, transfer or dispose of substantially all of its assets to another entity; (ii) issue equity which would result in a change of control of Borrower; or (iii) consolidate with or merge into another entity, permit any other entity to merge into it or consolidate with 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5.4</w:t>
      </w:r>
      <w:r>
        <w:rPr>
          <w:rFonts w:ascii="Times New Roman;Times;serif" w:hAnsi="Times New Roman;Times;serif"/>
          <w:b/>
          <w:sz w:val="20"/>
        </w:rPr>
        <w:t xml:space="preserve">Changes in Nature of Business. </w:t>
      </w:r>
      <w:r>
        <w:rPr>
          <w:rFonts w:ascii="Times New Roman;Times;serif" w:hAnsi="Times New Roman;Times;serif"/>
          <w:sz w:val="20"/>
        </w:rPr>
        <w:t>Borrower shall not, directly or indirectly, engage in any business not related or incidental to the business conducted by Borrower on the date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w:t>
      </w:r>
      <w:r>
        <w:rPr>
          <w:rFonts w:ascii="Times New Roman;Times;serif" w:hAnsi="Times New Roman;Times;serif"/>
          <w:b/>
          <w:sz w:val="20"/>
        </w:rPr>
        <w:t>EVENTS OF DEFAULT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Any one or more of the following events shall constitute an Event of Default: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6.1</w:t>
      </w:r>
      <w:r>
        <w:rPr>
          <w:rFonts w:ascii="Times New Roman;Times;serif" w:hAnsi="Times New Roman;Times;serif"/>
          <w:b/>
          <w:sz w:val="20"/>
        </w:rPr>
        <w:t xml:space="preserve">Payment Default. </w:t>
      </w:r>
      <w:r>
        <w:rPr>
          <w:rFonts w:ascii="Times New Roman;Times;serif" w:hAnsi="Times New Roman;Times;serif"/>
          <w:sz w:val="20"/>
        </w:rPr>
        <w:t>Borrower fails to make any interest or principal payment or payment of any other obligation under this Agreement after it is due.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6.2</w:t>
      </w:r>
      <w:r>
        <w:rPr>
          <w:rFonts w:ascii="Times New Roman;Times;serif" w:hAnsi="Times New Roman;Times;serif"/>
          <w:b/>
          <w:sz w:val="20"/>
        </w:rPr>
        <w:t xml:space="preserve">Misrepresentations. </w:t>
      </w:r>
      <w:r>
        <w:rPr>
          <w:rFonts w:ascii="Times New Roman;Times;serif" w:hAnsi="Times New Roman;Times;serif"/>
          <w:sz w:val="20"/>
        </w:rPr>
        <w:t>Any representation or warranty or statement made by Borrower in this Agreement or in any fmancial statement, report or certificate furnished by Borrower to Lender under this Agreement proves to be untrue in any material respect as of the date on which the representation or statement was made.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6.3</w:t>
      </w:r>
      <w:r>
        <w:rPr>
          <w:rFonts w:ascii="Times New Roman;Times;serif" w:hAnsi="Times New Roman;Times;serif"/>
          <w:b/>
          <w:sz w:val="20"/>
        </w:rPr>
        <w:t xml:space="preserve">Covenants. </w:t>
      </w:r>
      <w:r>
        <w:rPr>
          <w:rFonts w:ascii="Times New Roman;Times;serif" w:hAnsi="Times New Roman;Times;serif"/>
          <w:sz w:val="20"/>
        </w:rPr>
        <w:t>Borrower fails to perform or observe any covenants or any other material provision of this Agreement, aside from payment, and such failure continues for 15 days.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6.4</w:t>
      </w:r>
      <w:r>
        <w:rPr>
          <w:rFonts w:ascii="Times New Roman;Times;serif" w:hAnsi="Times New Roman;Times;serif"/>
          <w:b/>
          <w:sz w:val="20"/>
        </w:rPr>
        <w:t xml:space="preserve">Insolvency. </w:t>
      </w:r>
      <w:r>
        <w:rPr>
          <w:rFonts w:ascii="Times New Roman;Times;serif" w:hAnsi="Times New Roman;Times;serif"/>
          <w:sz w:val="20"/>
        </w:rPr>
        <w:t>Borrower becomes insolvent, or an insolvency proceeding is commenced by Borrower or commenced against Borrower and is not dismissed or stayed within 30 days. “Insolvency proceeding” means any proceeding commenced by or against any person or entity under any provision of the United States Bankruptcy Code, as amended, or under any other bankruptcy or insolvency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6.5</w:t>
      </w:r>
      <w:r>
        <w:rPr>
          <w:rFonts w:ascii="Times New Roman;Times;serif" w:hAnsi="Times New Roman;Times;serif"/>
          <w:b/>
          <w:sz w:val="20"/>
        </w:rPr>
        <w:t xml:space="preserve">Other Agreements. </w:t>
      </w:r>
      <w:r>
        <w:rPr>
          <w:rFonts w:ascii="Times New Roman;Times;serif" w:hAnsi="Times New Roman;Times;serif"/>
          <w:sz w:val="20"/>
        </w:rPr>
        <w:t>There is a default or other failure to perform by Borrower under any agreement to which Borrower is a party resulting in a third-party right, whether or not exercised, to accelerate the maturity of any indebtedness in an amount in excess of $600,000 or that would reasonably be expected to have a material adverse effect on Borrower.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6.6</w:t>
      </w:r>
      <w:r>
        <w:rPr>
          <w:rFonts w:ascii="Times New Roman;Times;serif" w:hAnsi="Times New Roman;Times;serif"/>
          <w:b/>
          <w:sz w:val="20"/>
        </w:rPr>
        <w:t xml:space="preserve">Judgments. </w:t>
      </w:r>
      <w:r>
        <w:rPr>
          <w:rFonts w:ascii="Times New Roman;Times;serif" w:hAnsi="Times New Roman;Times;serif"/>
          <w:sz w:val="20"/>
        </w:rPr>
        <w:t>A judgment or judgments for the payment of money in an amount, individually or in the aggregate, of at least $600,000 shall be rendered against Borrower and shall remain unsatisfied and unstayed for a period of 10 days.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7.</w:t>
      </w:r>
      <w:r>
        <w:rPr>
          <w:rFonts w:ascii="Times New Roman;Times;serif" w:hAnsi="Times New Roman;Times;serif"/>
          <w:b/>
          <w:sz w:val="20"/>
        </w:rPr>
        <w:t>RIGHTS AND REMEDIES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an event of default exists, Lender may terminate this Agreement and declare the outstanding balance of the Loan immediately due and payable. Lender’s rights and remedies under this Agreement and all other agreements shall be cumulative. No exercise by Lender of one right or remedy shall be deemed an election of, or waiver of, any other right or remedy.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w:t>
      </w:r>
      <w:r>
        <w:rPr>
          <w:rFonts w:ascii="Times New Roman;Times;serif" w:hAnsi="Times New Roman;Times;serif"/>
          <w:b/>
          <w:sz w:val="20"/>
        </w:rPr>
        <w:t>RELATIONSHIP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8.1</w:t>
      </w:r>
      <w:r>
        <w:rPr>
          <w:rFonts w:ascii="Times New Roman;Times;serif" w:hAnsi="Times New Roman;Times;serif"/>
          <w:b/>
          <w:sz w:val="20"/>
        </w:rPr>
        <w:t xml:space="preserve">Independent Organizations. </w:t>
      </w:r>
      <w:r>
        <w:rPr>
          <w:rFonts w:ascii="Times New Roman;Times;serif" w:hAnsi="Times New Roman;Times;serif"/>
          <w:sz w:val="20"/>
        </w:rPr>
        <w:t>Lender and Borrower are separate corporate entities and independent contracting parties. Borrower acknowledges that the conduct of Borrower and its employees and agents, and any other legal obligations of Borrower, are the sole responsibility of Borrower. This Agreement and its performance will not create a partnership, joint venture, employment, fiduciary, or similar relationship for any purpose.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8.2</w:t>
      </w:r>
      <w:r>
        <w:rPr>
          <w:rFonts w:ascii="Times New Roman;Times;serif" w:hAnsi="Times New Roman;Times;serif"/>
          <w:b/>
          <w:sz w:val="20"/>
        </w:rPr>
        <w:t xml:space="preserve">Confidentiality. </w:t>
      </w:r>
      <w:r>
        <w:rPr>
          <w:rFonts w:ascii="Times New Roman;Times;serif" w:hAnsi="Times New Roman;Times;serif"/>
          <w:sz w:val="20"/>
        </w:rPr>
        <w:t>Each party shall keep confidential and shall not disclose or use for its benefit or the benefit of any third party, other than in connection with its activities under this Agreement, any confidential information obtained from the other party, without obtaining the other party’s prior written consent, except to the extent that such confidential information is required to be disclosed by law. Confidential information does not include information that: (i) is or becomes generally available to the public other than as a result of a disclosure by either party; (ii) was known by either party before being furnished by the other party; (iii) is independently developed by either party without use, directly or indirectly, of any confidential information or (iv) is or becomes available to either party on a non-confidential basis from a source other than the other party.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8.3</w:t>
      </w:r>
      <w:r>
        <w:rPr>
          <w:rFonts w:ascii="Times New Roman;Times;serif" w:hAnsi="Times New Roman;Times;serif"/>
          <w:b/>
          <w:sz w:val="20"/>
        </w:rPr>
        <w:t xml:space="preserve">Indemnification. </w:t>
      </w:r>
      <w:r>
        <w:rPr>
          <w:rFonts w:ascii="Times New Roman;Times;serif" w:hAnsi="Times New Roman;Times;serif"/>
          <w:sz w:val="20"/>
        </w:rPr>
        <w:t>Borrower shall defend, indemnify, and hold Lender, and its directors, officers, employees, agents, and affiliates, harmless from and against any and all claims, liabilities, losses, damages, and expenses, including, without limitation, reasonable attorneys’ fees and expenses, that may arise, directly or indirectly, from (i) any breach by Borrower of its obligations under this Agreement; or (ii) any other act or omission by Borrower. Borrower shall have no obligation to indemnify Lender to the extent the liability is solely caused by Lender’s gross negligence or willful misconduct.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8.4</w:t>
      </w:r>
      <w:r>
        <w:rPr>
          <w:rFonts w:ascii="Times New Roman;Times;serif" w:hAnsi="Times New Roman;Times;serif"/>
          <w:b/>
          <w:sz w:val="20"/>
        </w:rPr>
        <w:t xml:space="preserve">Inspection. </w:t>
      </w:r>
      <w:r>
        <w:rPr>
          <w:rFonts w:ascii="Times New Roman;Times;serif" w:hAnsi="Times New Roman;Times;serif"/>
          <w:sz w:val="20"/>
        </w:rPr>
        <w:t>Borrower shall permit Lender, or any persons designated by Lender, at any reasonable time, to inspect Borrower’s facilities and to inspect, audit, examine and make copies of Borrower’s books, records, and accounts.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w:t>
      </w:r>
      <w:r>
        <w:rPr>
          <w:rFonts w:ascii="Times New Roman;Times;serif" w:hAnsi="Times New Roman;Times;serif"/>
          <w:b/>
          <w:sz w:val="20"/>
        </w:rPr>
        <w:t>GENERAL PROVISIONS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9.1</w:t>
      </w:r>
      <w:r>
        <w:rPr>
          <w:rFonts w:ascii="Times New Roman;Times;serif" w:hAnsi="Times New Roman;Times;serif"/>
          <w:b/>
          <w:sz w:val="20"/>
        </w:rPr>
        <w:t xml:space="preserve">Entire Agreement. </w:t>
      </w:r>
      <w:r>
        <w:rPr>
          <w:rFonts w:ascii="Times New Roman;Times;serif" w:hAnsi="Times New Roman;Times;serif"/>
          <w:sz w:val="20"/>
        </w:rPr>
        <w:t>This Agreement is the entire agreement between Lender and Borrower and supersedes all prior or contemporaneous communications, representations, understandings, and agreements, either oral or written, relating to the lending relationship contemplated by the subject matter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9.2</w:t>
      </w:r>
      <w:r>
        <w:rPr>
          <w:rFonts w:ascii="Times New Roman;Times;serif" w:hAnsi="Times New Roman;Times;serif"/>
          <w:b/>
          <w:sz w:val="20"/>
        </w:rPr>
        <w:t xml:space="preserve">Governing Law. </w:t>
      </w:r>
      <w:r>
        <w:rPr>
          <w:rFonts w:ascii="Times New Roman;Times;serif" w:hAnsi="Times New Roman;Times;serif"/>
          <w:sz w:val="20"/>
        </w:rPr>
        <w:t>This Agreement shall be governed by the laws of the State of North Carolina.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9.3</w:t>
      </w:r>
      <w:r>
        <w:rPr>
          <w:rFonts w:ascii="Times New Roman;Times;serif" w:hAnsi="Times New Roman;Times;serif"/>
          <w:b/>
          <w:sz w:val="20"/>
        </w:rPr>
        <w:t xml:space="preserve">Assignment. </w:t>
      </w:r>
      <w:r>
        <w:rPr>
          <w:rFonts w:ascii="Times New Roman;Times;serif" w:hAnsi="Times New Roman;Times;serif"/>
          <w:sz w:val="20"/>
        </w:rPr>
        <w:t>Borrower will not assign its rights or delegate its duties under this Agreement without first obtaining the written consent of Lender. For purposes of this Agreement, an assignment includes, without limitation, a merger in which Lender is not the surviving entity; a consolidation involving Borrower; any amendment to Borrower’s Articles of Incorporation or Bylaws, issuance by Borrower or sale or other transfer by holders of shares or other equity interests in Borrower, or any other action that has the effect of transferring to a single entity or person the power to elect a majority of the Borrower’s Board of Directors.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9.4</w:t>
      </w:r>
      <w:r>
        <w:rPr>
          <w:rFonts w:ascii="Times New Roman;Times;serif" w:hAnsi="Times New Roman;Times;serif"/>
          <w:b/>
          <w:sz w:val="20"/>
        </w:rPr>
        <w:t xml:space="preserve">Waiver. </w:t>
      </w:r>
      <w:r>
        <w:rPr>
          <w:rFonts w:ascii="Times New Roman;Times;serif" w:hAnsi="Times New Roman;Times;serif"/>
          <w:sz w:val="20"/>
        </w:rPr>
        <w:t>Any waiver of the provisions of this Agreement or of Lender’s or Borrower’s rights or remedies under this Agreement must be in writing and signed by the waiving party to be effective. Failure, neglect, or delay by Lender at any time to enforce the provisions of this Agreement or its rights or remedies will not be construed as a waiver of its rights, powers, or remedies under this Agreement. Waiver of any breach or provision of this Agreement, including, without limitation, any Event of Default, will not be considered a waiver of any later breach or of the right to enforce any provision of this Agreement. Borrower waives diligence, presentment, protest, demand and notice of any kind.</w:t>
      </w:r>
    </w:p>
    <w:p>
      <w:pPr>
        <w:pStyle w:val="TextBody"/>
        <w:bidi w:val="0"/>
        <w:spacing w:before="0" w:after="0"/>
        <w:ind w:left="0" w:right="0" w:hanging="0"/>
        <w:jc w:val="left"/>
        <w:rPr>
          <w:shd w:fill="FF0000" w:val="clear"/>
        </w:rPr>
      </w:pPr>
      <w:r>
        <w:rPr>
          <w:shd w:fill="FF00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9.5</w:t>
      </w:r>
      <w:r>
        <w:rPr>
          <w:rFonts w:ascii="Times New Roman;Times;serif" w:hAnsi="Times New Roman;Times;serif"/>
          <w:b/>
          <w:sz w:val="20"/>
        </w:rPr>
        <w:t xml:space="preserve">Severability. </w:t>
      </w:r>
      <w:r>
        <w:rPr>
          <w:rFonts w:ascii="Times New Roman;Times;serif" w:hAnsi="Times New Roman;Times;serif"/>
          <w:sz w:val="20"/>
        </w:rPr>
        <w:t>If any provision of this Agreement is held illegal, invalid, or unenforceable, all other provisions of this Agreement will nevertheless be effective, and the illegal, invalid, or unenforceable provision will be considered modified such that it is valid to the maximum extent permitted by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9.6</w:t>
      </w:r>
      <w:r>
        <w:rPr>
          <w:rFonts w:ascii="Times New Roman;Times;serif" w:hAnsi="Times New Roman;Times;serif"/>
          <w:b/>
          <w:sz w:val="20"/>
        </w:rPr>
        <w:t xml:space="preserve">Amendments. </w:t>
      </w:r>
      <w:r>
        <w:rPr>
          <w:rFonts w:ascii="Times New Roman;Times;serif" w:hAnsi="Times New Roman;Times;serif"/>
          <w:sz w:val="20"/>
        </w:rPr>
        <w:t>This Agreement may be amended only as stated in a written document signed by both Lender and Borrower which states that it is an amendment to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9.7</w:t>
      </w:r>
      <w:r>
        <w:rPr>
          <w:rFonts w:ascii="Times New Roman;Times;serif" w:hAnsi="Times New Roman;Times;serif"/>
          <w:b/>
          <w:sz w:val="20"/>
        </w:rPr>
        <w:t xml:space="preserve">Notices. </w:t>
      </w:r>
      <w:r>
        <w:rPr>
          <w:rFonts w:ascii="Times New Roman;Times;serif" w:hAnsi="Times New Roman;Times;serif"/>
          <w:sz w:val="20"/>
        </w:rPr>
        <w:t>Any notices, approvals, consents or other communications required to be given by either party pursuant to this Agreement shall be in writing and delivered by mail, courier, e-mail message, or fax to the addresses set out on the signature page. These addresses may be changed by written notice to the other party.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9.8</w:t>
      </w:r>
      <w:r>
        <w:rPr>
          <w:rFonts w:ascii="Times New Roman;Times;serif" w:hAnsi="Times New Roman;Times;serif"/>
          <w:b/>
          <w:sz w:val="20"/>
        </w:rPr>
        <w:t xml:space="preserve">Counterparts. </w:t>
      </w:r>
      <w:r>
        <w:rPr>
          <w:rFonts w:ascii="Times New Roman;Times;serif" w:hAnsi="Times New Roman;Times;serif"/>
          <w:sz w:val="20"/>
        </w:rPr>
        <w:t>This Agreement may be executed in one or more counterparts, each of which will be deemed an original and all of which will be taken together and deemed to be one instrument. Transmission by fax or PDF of executed counterparts will constitute effective delivery.</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 * * * * * * *</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Lender and Borrower signed this Agreement as of the date set out in its first paragraph.</w:t>
      </w:r>
    </w:p>
    <w:tbl>
      <w:tblPr>
        <w:tblW w:w="4558" w:type="dxa"/>
        <w:jc w:val="center"/>
        <w:tblInd w:w="0" w:type="dxa"/>
        <w:tblLayout w:type="fixed"/>
        <w:tblCellMar>
          <w:top w:w="0" w:type="dxa"/>
          <w:left w:w="0" w:type="dxa"/>
          <w:bottom w:w="0" w:type="dxa"/>
          <w:right w:w="0" w:type="dxa"/>
        </w:tblCellMar>
      </w:tblPr>
      <w:tblGrid>
        <w:gridCol w:w="124"/>
        <w:gridCol w:w="4434"/>
      </w:tblGrid>
      <w:tr>
        <w:trPr/>
        <w:tc>
          <w:tcPr>
            <w:tcW w:w="124" w:type="dxa"/>
            <w:tcBorders/>
            <w:vAlign w:val="center"/>
          </w:tcPr>
          <w:p>
            <w:pPr>
              <w:pStyle w:val="TableContents"/>
              <w:bidi w:val="0"/>
              <w:spacing w:before="0" w:after="0"/>
              <w:ind w:left="0" w:right="0" w:hanging="0"/>
              <w:jc w:val="left"/>
              <w:rPr/>
            </w:pPr>
            <w:r>
              <w:rPr/>
              <w:t>​</w:t>
            </w:r>
          </w:p>
        </w:tc>
        <w:tc>
          <w:tcPr>
            <w:tcW w:w="4434" w:type="dxa"/>
            <w:tcBorders/>
            <w:vAlign w:val="center"/>
          </w:tcPr>
          <w:p>
            <w:pPr>
              <w:pStyle w:val="TableContents"/>
              <w:bidi w:val="0"/>
              <w:spacing w:before="0" w:after="0"/>
              <w:ind w:left="0" w:right="0" w:hanging="0"/>
              <w:jc w:val="left"/>
              <w:rPr/>
            </w:pPr>
            <w:r>
              <w:rPr/>
              <w:drawing>
                <wp:inline distT="0" distB="0" distL="0" distR="0">
                  <wp:extent cx="2732405" cy="2560320"/>
                  <wp:effectExtent l="0" t="0" r="0" b="0"/>
                  <wp:docPr id="65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 name="Image4" descr=""/>
                          <pic:cNvPicPr>
                            <a:picLocks noChangeAspect="1" noChangeArrowheads="1"/>
                          </pic:cNvPicPr>
                        </pic:nvPicPr>
                        <pic:blipFill>
                          <a:blip r:embed="rId19"/>
                          <a:stretch>
                            <a:fillRect/>
                          </a:stretch>
                        </pic:blipFill>
                        <pic:spPr bwMode="auto">
                          <a:xfrm>
                            <a:off x="0" y="0"/>
                            <a:ext cx="2732405" cy="2560320"/>
                          </a:xfrm>
                          <a:prstGeom prst="rect">
                            <a:avLst/>
                          </a:prstGeom>
                        </pic:spPr>
                      </pic:pic>
                    </a:graphicData>
                  </a:graphic>
                </wp:inline>
              </w:drawing>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441" w:name="ctnt-20260630xex10d14.htm"/>
      <w:bookmarkStart w:id="1442" w:name="ksctnt20260630xex10d14"/>
      <w:bookmarkEnd w:id="1441"/>
      <w:bookmarkEnd w:id="1442"/>
      <w:r>
        <w:rPr>
          <w:rFonts w:ascii="Times New Roman;Times;serif" w:hAnsi="Times New Roman;Times;serif"/>
          <w:b/>
          <w:sz w:val="20"/>
        </w:rPr>
        <w:t>Exhibit 10.14</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LOAN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THIS LOAN AGREEMENT </w:t>
      </w:r>
      <w:r>
        <w:rPr>
          <w:rFonts w:ascii="Times New Roman;Times;serif" w:hAnsi="Times New Roman;Times;serif"/>
          <w:sz w:val="20"/>
        </w:rPr>
        <w:t>(“Agreement”) is entered into as of June 26, 2026, by and between Cheetah Net Supply Chain Service Inc., a North Carolina corporation (“Lender”), and Asia Finance Investment Limited. (“Borrower”).</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RECITALS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Borrower desires to borrow from Lender, and Lender agrees to loan to Borrower, the Loan amounts described below.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NOW, THEREFORE, Lender and Borrower agree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w:t>
      </w:r>
      <w:r>
        <w:rPr>
          <w:rFonts w:ascii="Times New Roman;Times;serif" w:hAnsi="Times New Roman;Times;serif"/>
          <w:b/>
          <w:sz w:val="20"/>
        </w:rPr>
        <w:t>LOAN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1.1</w:t>
      </w:r>
      <w:r>
        <w:rPr>
          <w:rFonts w:ascii="Times New Roman;Times;serif" w:hAnsi="Times New Roman;Times;serif"/>
          <w:b/>
          <w:sz w:val="20"/>
        </w:rPr>
        <w:t xml:space="preserve">Loan. </w:t>
      </w:r>
      <w:r>
        <w:rPr>
          <w:rFonts w:ascii="Times New Roman;Times;serif" w:hAnsi="Times New Roman;Times;serif"/>
          <w:sz w:val="20"/>
        </w:rPr>
        <w:t>Lender agrees to lend to Borrower and Borrower agrees to borrow from Lender the principal amount of One Million Four Hundred Ten Thousand Dollars ($1,410,000) (the “Loan”).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1.2</w:t>
      </w:r>
      <w:r>
        <w:rPr>
          <w:rFonts w:ascii="Times New Roman;Times;serif" w:hAnsi="Times New Roman;Times;serif"/>
          <w:b/>
          <w:sz w:val="20"/>
        </w:rPr>
        <w:t xml:space="preserve">Interest. </w:t>
      </w:r>
      <w:r>
        <w:rPr>
          <w:rFonts w:ascii="Times New Roman;Times;serif" w:hAnsi="Times New Roman;Times;serif"/>
          <w:sz w:val="20"/>
        </w:rPr>
        <w:t>Except as provided in Section 1.4, the Loan shall bear interest at an annual rate of 5%, calculated on the basis of a 360-day year for the actual number of days for which interest is calculated.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1.3</w:t>
      </w:r>
      <w:r>
        <w:rPr>
          <w:rFonts w:ascii="Times New Roman;Times;serif" w:hAnsi="Times New Roman;Times;serif"/>
          <w:b/>
          <w:sz w:val="20"/>
        </w:rPr>
        <w:t xml:space="preserve">Payment Schedule. </w:t>
      </w:r>
      <w:r>
        <w:rPr>
          <w:rFonts w:ascii="Times New Roman;Times;serif" w:hAnsi="Times New Roman;Times;serif"/>
          <w:sz w:val="20"/>
        </w:rPr>
        <w:t>The Borrower shall repay the Loan and the Interest in a single lump sum on the date twelve months after the Lender has disbursed the Loan (the “Maturity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1.4</w:t>
      </w:r>
      <w:r>
        <w:rPr>
          <w:rFonts w:ascii="Times New Roman;Times;serif" w:hAnsi="Times New Roman;Times;serif"/>
          <w:b/>
          <w:sz w:val="20"/>
        </w:rPr>
        <w:t xml:space="preserve">Overdue Payments. </w:t>
      </w:r>
      <w:r>
        <w:rPr>
          <w:rFonts w:ascii="Times New Roman;Times;serif" w:hAnsi="Times New Roman;Times;serif"/>
          <w:sz w:val="20"/>
        </w:rPr>
        <w:t>Any overdue payments or unpaid portions of such payments under this Loan shall bear interest, payable on demand, at an annual rate of 7.5%, until repaid by Borrower; provided, however, that the aggregate rate of interest shall not exceed the maximum permissible interest rate under applicable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1.5</w:t>
      </w:r>
      <w:r>
        <w:rPr>
          <w:rFonts w:ascii="Times New Roman;Times;serif" w:hAnsi="Times New Roman;Times;serif"/>
          <w:b/>
          <w:sz w:val="20"/>
        </w:rPr>
        <w:t xml:space="preserve">Disbursement by Lender. </w:t>
      </w:r>
      <w:r>
        <w:rPr>
          <w:rFonts w:ascii="Times New Roman;Times;serif" w:hAnsi="Times New Roman;Times;serif"/>
          <w:sz w:val="20"/>
        </w:rPr>
        <w:t>Lender will pay the Loan to Borrower via wire transfer to the following account at such time after the execution of this Agreement as Lender in its sole discretion may determine.</w:t>
      </w:r>
    </w:p>
    <w:p>
      <w:pPr>
        <w:pStyle w:val="TextBody"/>
        <w:bidi w:val="0"/>
        <w:spacing w:before="0" w:after="9"/>
        <w:ind w:left="720" w:right="0" w:hanging="0"/>
        <w:jc w:val="left"/>
        <w:rPr>
          <w:rFonts w:ascii="Times New Roman;Times;serif" w:hAnsi="Times New Roman;Times;serif"/>
          <w:sz w:val="20"/>
        </w:rPr>
      </w:pPr>
      <w:r>
        <w:rPr>
          <w:rFonts w:ascii="Times New Roman;Times;serif" w:hAnsi="Times New Roman;Times;serif"/>
          <w:sz w:val="20"/>
        </w:rPr>
        <w:t>Beneficiary Bank</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 xml:space="preserve">SWIFT Code </w:t>
        <w:br/>
        <w:t xml:space="preserve">Bank Name: </w:t>
        <w:br/>
        <w:t>Address:</w:t>
      </w:r>
    </w:p>
    <w:p>
      <w:pPr>
        <w:pStyle w:val="TextBody"/>
        <w:bidi w:val="0"/>
        <w:spacing w:before="0" w:after="2"/>
        <w:ind w:left="720" w:right="0" w:hanging="0"/>
        <w:jc w:val="left"/>
        <w:rPr>
          <w:rFonts w:ascii="Times New Roman;Times;serif" w:hAnsi="Times New Roman;Times;serif"/>
          <w:sz w:val="20"/>
        </w:rPr>
      </w:pPr>
      <w:r>
        <w:rPr>
          <w:rFonts w:ascii="Times New Roman;Times;serif" w:hAnsi="Times New Roman;Times;serif"/>
          <w:sz w:val="20"/>
        </w:rPr>
        <w:t>Beneficiary Party</w:t>
      </w:r>
    </w:p>
    <w:p>
      <w:pPr>
        <w:pStyle w:val="TextBody"/>
        <w:bidi w:val="0"/>
        <w:spacing w:before="0" w:after="3"/>
        <w:ind w:left="720" w:right="0" w:hanging="0"/>
        <w:jc w:val="left"/>
        <w:rPr>
          <w:rFonts w:ascii="Times New Roman;Times;serif" w:hAnsi="Times New Roman;Times;serif"/>
          <w:sz w:val="20"/>
        </w:rPr>
      </w:pPr>
      <w:r>
        <w:rPr>
          <w:rFonts w:ascii="Times New Roman;Times;serif" w:hAnsi="Times New Roman;Times;serif"/>
          <w:sz w:val="20"/>
        </w:rPr>
        <w:t>Name: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Account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1.6</w:t>
      </w:r>
      <w:r>
        <w:rPr>
          <w:rFonts w:ascii="Times New Roman;Times;serif" w:hAnsi="Times New Roman;Times;serif"/>
          <w:b/>
          <w:sz w:val="20"/>
        </w:rPr>
        <w:t xml:space="preserve">Payments by Borrower. </w:t>
      </w:r>
      <w:r>
        <w:rPr>
          <w:rFonts w:ascii="Times New Roman;Times;serif" w:hAnsi="Times New Roman;Times;serif"/>
          <w:sz w:val="20"/>
        </w:rPr>
        <w:t>Borrower shall make payments to Lender via wire transfer to an account specified by Lender.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1.7</w:t>
      </w:r>
      <w:r>
        <w:rPr>
          <w:rFonts w:ascii="Times New Roman;Times;serif" w:hAnsi="Times New Roman;Times;serif"/>
          <w:b/>
          <w:sz w:val="20"/>
        </w:rPr>
        <w:t xml:space="preserve">Computations and Records. </w:t>
      </w:r>
      <w:r>
        <w:rPr>
          <w:rFonts w:ascii="Times New Roman;Times;serif" w:hAnsi="Times New Roman;Times;serif"/>
          <w:sz w:val="20"/>
        </w:rPr>
        <w:t>Lender shall record the date and amount of each payment by Borrower, and the resulting balance of the Loan. Borrower acknowledges and agrees that Lender’s books and records relating to the transactions of this Agreement, including, without limitation, interest computations, shall be deemed correct, accurate and binding on Borrower.</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REPRESENTATIONS AND WARRANTIES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Borrower represents and warrants to Lender the following: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2.1</w:t>
      </w:r>
      <w:r>
        <w:rPr>
          <w:rFonts w:ascii="Times New Roman;Times;serif" w:hAnsi="Times New Roman;Times;serif"/>
          <w:b/>
          <w:sz w:val="20"/>
        </w:rPr>
        <w:t xml:space="preserve">Due Organization and Qualification. </w:t>
      </w:r>
      <w:r>
        <w:rPr>
          <w:rFonts w:ascii="Times New Roman;Times;serif" w:hAnsi="Times New Roman;Times;serif"/>
          <w:sz w:val="20"/>
        </w:rPr>
        <w:t>Borrower is a corporation duly organized, validly existing, and in good standing under the laws of the state in which it is incorporated.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2.2</w:t>
      </w:r>
      <w:r>
        <w:rPr>
          <w:rFonts w:ascii="Times New Roman;Times;serif" w:hAnsi="Times New Roman;Times;serif"/>
          <w:b/>
          <w:sz w:val="20"/>
        </w:rPr>
        <w:t xml:space="preserve">Due Authorization; No Conflict. </w:t>
      </w:r>
      <w:r>
        <w:rPr>
          <w:rFonts w:ascii="Times New Roman;Times;serif" w:hAnsi="Times New Roman;Times;serif"/>
          <w:sz w:val="20"/>
        </w:rPr>
        <w:t>The execution, delivery, and performance of the Agreement is within Borrower’s corporate powers, has been authorized by Borrower’s Board of Directors, will not conflict with or breach any provision of Borrower’s Articles of Incorporation or Bylaws, and will not create or result in a breach or default under any contract or any law, regulation, or order by which Borrower is bound.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2.3</w:t>
      </w:r>
      <w:r>
        <w:rPr>
          <w:rFonts w:ascii="Times New Roman;Times;serif" w:hAnsi="Times New Roman;Times;serif"/>
          <w:b/>
          <w:sz w:val="20"/>
        </w:rPr>
        <w:t xml:space="preserve">Enforceable Agreement. </w:t>
      </w:r>
      <w:r>
        <w:rPr>
          <w:rFonts w:ascii="Times New Roman;Times;serif" w:hAnsi="Times New Roman;Times;serif"/>
          <w:sz w:val="20"/>
        </w:rPr>
        <w:t>This Agreement has been duly executed and delivered by Borrower and is the legal, valid, and binding obligation of Borrower, enforceable against it in accordance with its terms.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2.4</w:t>
      </w:r>
      <w:r>
        <w:rPr>
          <w:rFonts w:ascii="Times New Roman;Times;serif" w:hAnsi="Times New Roman;Times;serif"/>
          <w:b/>
          <w:sz w:val="20"/>
        </w:rPr>
        <w:t xml:space="preserve">Compliance with Law. </w:t>
      </w:r>
      <w:r>
        <w:rPr>
          <w:rFonts w:ascii="Times New Roman;Times;serif" w:hAnsi="Times New Roman;Times;serif"/>
          <w:sz w:val="20"/>
        </w:rPr>
        <w:t>Borrower is not in violation of any law, regulation, order or agreement, the consequences of which could reasonably be expected to have a material adverse effect on Borrower.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AFFIRMATIVE COVENANTS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3.1</w:t>
      </w:r>
      <w:r>
        <w:rPr>
          <w:rFonts w:ascii="Times New Roman;Times;serif" w:hAnsi="Times New Roman;Times;serif"/>
          <w:b/>
          <w:sz w:val="20"/>
        </w:rPr>
        <w:t xml:space="preserve">Good Standing. </w:t>
      </w:r>
      <w:r>
        <w:rPr>
          <w:rFonts w:ascii="Times New Roman;Times;serif" w:hAnsi="Times New Roman;Times;serif"/>
          <w:sz w:val="20"/>
        </w:rPr>
        <w:t>Borrower shall remain in good standing as a corporation in the jurisdiction of its incorporation.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3.2</w:t>
      </w:r>
      <w:r>
        <w:rPr>
          <w:rFonts w:ascii="Times New Roman;Times;serif" w:hAnsi="Times New Roman;Times;serif"/>
          <w:b/>
          <w:sz w:val="20"/>
        </w:rPr>
        <w:t xml:space="preserve">Compliance with Law. </w:t>
      </w:r>
      <w:r>
        <w:rPr>
          <w:rFonts w:ascii="Times New Roman;Times;serif" w:hAnsi="Times New Roman;Times;serif"/>
          <w:sz w:val="20"/>
        </w:rPr>
        <w:t>Borrower shall comply with all laws, regulations, and orders applicable to 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3.3</w:t>
      </w:r>
      <w:r>
        <w:rPr>
          <w:rFonts w:ascii="Times New Roman;Times;serif" w:hAnsi="Times New Roman;Times;serif"/>
          <w:b/>
          <w:sz w:val="20"/>
        </w:rPr>
        <w:t xml:space="preserve">Maintenance of Property. </w:t>
      </w:r>
      <w:r>
        <w:rPr>
          <w:rFonts w:ascii="Times New Roman;Times;serif" w:hAnsi="Times New Roman;Times;serif"/>
          <w:sz w:val="20"/>
        </w:rPr>
        <w:t>Borrower shall maintain all of its property necessary and useful in the conduct of its business in good operating condition and repair, ordinary wear and tear excepted.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3.4</w:t>
      </w:r>
      <w:r>
        <w:rPr>
          <w:rFonts w:ascii="Times New Roman;Times;serif" w:hAnsi="Times New Roman;Times;serif"/>
          <w:b/>
          <w:sz w:val="20"/>
        </w:rPr>
        <w:t xml:space="preserve">Insurance. </w:t>
      </w:r>
      <w:r>
        <w:rPr>
          <w:rFonts w:ascii="Times New Roman;Times;serif" w:hAnsi="Times New Roman;Times;serif"/>
          <w:sz w:val="20"/>
        </w:rPr>
        <w:t>Borrower shall maintain and keep in force insurance of the types and amounts customarily carried in its line of business, including, without limitation, fire, public liability, property damage and workers’ compensation.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w:t>
      </w:r>
      <w:r>
        <w:rPr>
          <w:rFonts w:ascii="Times New Roman;Times;serif" w:hAnsi="Times New Roman;Times;serif"/>
          <w:b/>
          <w:sz w:val="20"/>
        </w:rPr>
        <w:t>REPORTING COVENANTS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4.1</w:t>
      </w:r>
      <w:r>
        <w:rPr>
          <w:rFonts w:ascii="Times New Roman;Times;serif" w:hAnsi="Times New Roman;Times;serif"/>
          <w:b/>
          <w:sz w:val="20"/>
        </w:rPr>
        <w:t xml:space="preserve">Notice to Lender. </w:t>
      </w:r>
      <w:r>
        <w:rPr>
          <w:rFonts w:ascii="Times New Roman;Times;serif" w:hAnsi="Times New Roman;Times;serif"/>
          <w:sz w:val="20"/>
        </w:rPr>
        <w:t>Borrower shall promptly notify Lender of:</w:t>
      </w:r>
    </w:p>
    <w:tbl>
      <w:tblPr>
        <w:tblW w:w="6198" w:type="dxa"/>
        <w:jc w:val="left"/>
        <w:tblInd w:w="0" w:type="dxa"/>
        <w:tblLayout w:type="fixed"/>
        <w:tblCellMar>
          <w:top w:w="0" w:type="dxa"/>
          <w:left w:w="0" w:type="dxa"/>
          <w:bottom w:w="0" w:type="dxa"/>
          <w:right w:w="0" w:type="dxa"/>
        </w:tblCellMar>
      </w:tblPr>
      <w:tblGrid>
        <w:gridCol w:w="23"/>
        <w:gridCol w:w="200"/>
        <w:gridCol w:w="597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w:t>
            </w:r>
          </w:p>
        </w:tc>
        <w:tc>
          <w:tcPr>
            <w:tcW w:w="59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material change to Borrower’s fmancial condition or corporate status;</w:t>
            </w:r>
          </w:p>
        </w:tc>
      </w:tr>
    </w:tbl>
    <w:tbl>
      <w:tblPr>
        <w:tblW w:w="10205" w:type="dxa"/>
        <w:jc w:val="left"/>
        <w:tblInd w:w="0" w:type="dxa"/>
        <w:tblLayout w:type="fixed"/>
        <w:tblCellMar>
          <w:top w:w="0" w:type="dxa"/>
          <w:left w:w="0" w:type="dxa"/>
          <w:bottom w:w="0" w:type="dxa"/>
          <w:right w:w="0" w:type="dxa"/>
        </w:tblCellMar>
      </w:tblPr>
      <w:tblGrid>
        <w:gridCol w:w="23"/>
        <w:gridCol w:w="239"/>
        <w:gridCol w:w="9943"/>
      </w:tblGrid>
      <w:tr>
        <w:trPr/>
        <w:tc>
          <w:tcPr>
            <w:tcW w:w="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w:t>
            </w:r>
          </w:p>
        </w:tc>
        <w:tc>
          <w:tcPr>
            <w:tcW w:w="99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legal or regulatory action, proceeding or investigation threatened or instituted against Borrower that could reasonably be expected to have a material adverse effect on Borrower;</w:t>
            </w:r>
          </w:p>
        </w:tc>
      </w:tr>
    </w:tbl>
    <w:tbl>
      <w:tblPr>
        <w:tblW w:w="6948" w:type="dxa"/>
        <w:jc w:val="left"/>
        <w:tblInd w:w="0" w:type="dxa"/>
        <w:tblLayout w:type="fixed"/>
        <w:tblCellMar>
          <w:top w:w="0" w:type="dxa"/>
          <w:left w:w="0" w:type="dxa"/>
          <w:bottom w:w="0" w:type="dxa"/>
          <w:right w:w="0" w:type="dxa"/>
        </w:tblCellMar>
      </w:tblPr>
      <w:tblGrid>
        <w:gridCol w:w="23"/>
        <w:gridCol w:w="320"/>
        <w:gridCol w:w="660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(iii)</w:t>
            </w:r>
          </w:p>
        </w:tc>
        <w:tc>
          <w:tcPr>
            <w:tcW w:w="660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substantial damage to or destruction of Borrower’s business facilities or premises;</w:t>
            </w:r>
          </w:p>
        </w:tc>
      </w:tr>
    </w:tbl>
    <w:tbl>
      <w:tblPr>
        <w:tblW w:w="9933" w:type="dxa"/>
        <w:jc w:val="left"/>
        <w:tblInd w:w="0" w:type="dxa"/>
        <w:tblLayout w:type="fixed"/>
        <w:tblCellMar>
          <w:top w:w="0" w:type="dxa"/>
          <w:left w:w="0" w:type="dxa"/>
          <w:bottom w:w="0" w:type="dxa"/>
          <w:right w:w="0" w:type="dxa"/>
        </w:tblCellMar>
      </w:tblPr>
      <w:tblGrid>
        <w:gridCol w:w="23"/>
        <w:gridCol w:w="305"/>
        <w:gridCol w:w="9605"/>
      </w:tblGrid>
      <w:tr>
        <w:trPr/>
        <w:tc>
          <w:tcPr>
            <w:tcW w:w="2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(iv)</w:t>
            </w:r>
          </w:p>
        </w:tc>
        <w:tc>
          <w:tcPr>
            <w:tcW w:w="960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event of default under this Agreement, or any event that with lapse of time would constitute an event of default; or</w:t>
            </w:r>
          </w:p>
        </w:tc>
      </w:tr>
    </w:tbl>
    <w:tbl>
      <w:tblPr>
        <w:tblW w:w="7083" w:type="dxa"/>
        <w:jc w:val="left"/>
        <w:tblInd w:w="0" w:type="dxa"/>
        <w:tblLayout w:type="fixed"/>
        <w:tblCellMar>
          <w:top w:w="0" w:type="dxa"/>
          <w:left w:w="0" w:type="dxa"/>
          <w:bottom w:w="0" w:type="dxa"/>
          <w:right w:w="0" w:type="dxa"/>
        </w:tblCellMar>
      </w:tblPr>
      <w:tblGrid>
        <w:gridCol w:w="23"/>
        <w:gridCol w:w="245"/>
        <w:gridCol w:w="681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(v)</w:t>
            </w:r>
          </w:p>
        </w:tc>
        <w:tc>
          <w:tcPr>
            <w:tcW w:w="681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other development that has or could have a material adverse effect on Borrower.</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w:t>
      </w:r>
      <w:r>
        <w:rPr>
          <w:rFonts w:ascii="Times New Roman;Times;serif" w:hAnsi="Times New Roman;Times;serif"/>
          <w:b/>
          <w:sz w:val="20"/>
        </w:rPr>
        <w:t>NEGATIVE COVENANTS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5.1</w:t>
      </w:r>
      <w:r>
        <w:rPr>
          <w:rFonts w:ascii="Times New Roman;Times;serif" w:hAnsi="Times New Roman;Times;serif"/>
          <w:b/>
          <w:sz w:val="20"/>
        </w:rPr>
        <w:t xml:space="preserve">Additional Debt. </w:t>
      </w:r>
      <w:r>
        <w:rPr>
          <w:rFonts w:ascii="Times New Roman;Times;serif" w:hAnsi="Times New Roman;Times;serif"/>
          <w:sz w:val="20"/>
        </w:rPr>
        <w:t>Borrower shall not borrow money from other parties without first disclosing the proposed borrowing to Lender.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5.2</w:t>
      </w:r>
      <w:r>
        <w:rPr>
          <w:rFonts w:ascii="Times New Roman;Times;serif" w:hAnsi="Times New Roman;Times;serif"/>
          <w:b/>
          <w:sz w:val="20"/>
        </w:rPr>
        <w:t xml:space="preserve">Liens. </w:t>
      </w:r>
      <w:r>
        <w:rPr>
          <w:rFonts w:ascii="Times New Roman;Times;serif" w:hAnsi="Times New Roman;Times;serif"/>
          <w:sz w:val="20"/>
        </w:rPr>
        <w:t>Borrower shall not create, assume, or allow any security interest or lien on property that Borrower now or later owns except: (i) liens and security interests in favor of Lender; (ii) liens for taxes not yet due; (iii) liens outstanding on the date of this Agreement disclosed in writing to Lender; (iv) liens arising by operation of law; and (v) liens arising in the ordinary course of Borrower’s business securing amounts Borrower owes in the operation of its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5.3</w:t>
      </w:r>
      <w:r>
        <w:rPr>
          <w:rFonts w:ascii="Times New Roman;Times;serif" w:hAnsi="Times New Roman;Times;serif"/>
          <w:b/>
          <w:sz w:val="20"/>
        </w:rPr>
        <w:t xml:space="preserve">Sale of Assets; Change of Control; Mergers. </w:t>
      </w:r>
      <w:r>
        <w:rPr>
          <w:rFonts w:ascii="Times New Roman;Times;serif" w:hAnsi="Times New Roman;Times;serif"/>
          <w:sz w:val="20"/>
        </w:rPr>
        <w:t>Borrower shall not, without Lender’s prior written consent: (i) sell, lease, transfer or dispose of substantially all of its assets to another entity; (ii) issue equity which would result in a change of control of Borrower; or (iii) consolidate with or merge into another entity, permit any other entity to merge into it or consolidate with 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5.4</w:t>
      </w:r>
      <w:r>
        <w:rPr>
          <w:rFonts w:ascii="Times New Roman;Times;serif" w:hAnsi="Times New Roman;Times;serif"/>
          <w:b/>
          <w:sz w:val="20"/>
        </w:rPr>
        <w:t xml:space="preserve">Changes in Nature of Business. </w:t>
      </w:r>
      <w:r>
        <w:rPr>
          <w:rFonts w:ascii="Times New Roman;Times;serif" w:hAnsi="Times New Roman;Times;serif"/>
          <w:sz w:val="20"/>
        </w:rPr>
        <w:t>Borrower shall not, directly or indirectly, engage in any business not related or incidental to the business conducted by Borrower on the date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w:t>
      </w:r>
      <w:r>
        <w:rPr>
          <w:rFonts w:ascii="Times New Roman;Times;serif" w:hAnsi="Times New Roman;Times;serif"/>
          <w:b/>
          <w:sz w:val="20"/>
        </w:rPr>
        <w:t>EVENTS OF DEFAULT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Any one or more of the following events shall constitute an Event of Default: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6.1</w:t>
      </w:r>
      <w:r>
        <w:rPr>
          <w:rFonts w:ascii="Times New Roman;Times;serif" w:hAnsi="Times New Roman;Times;serif"/>
          <w:b/>
          <w:sz w:val="20"/>
        </w:rPr>
        <w:t xml:space="preserve">Payment Default. </w:t>
      </w:r>
      <w:r>
        <w:rPr>
          <w:rFonts w:ascii="Times New Roman;Times;serif" w:hAnsi="Times New Roman;Times;serif"/>
          <w:sz w:val="20"/>
        </w:rPr>
        <w:t>Borrower fails to make any interest or principal payment or payment of any other obligation under this Agreement after it is due.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6.2</w:t>
      </w:r>
      <w:r>
        <w:rPr>
          <w:rFonts w:ascii="Times New Roman;Times;serif" w:hAnsi="Times New Roman;Times;serif"/>
          <w:b/>
          <w:sz w:val="20"/>
        </w:rPr>
        <w:t xml:space="preserve">Misrepresentations. </w:t>
      </w:r>
      <w:r>
        <w:rPr>
          <w:rFonts w:ascii="Times New Roman;Times;serif" w:hAnsi="Times New Roman;Times;serif"/>
          <w:sz w:val="20"/>
        </w:rPr>
        <w:t>Any representation or warranty or statement made by Borrower in this Agreement or in any fmancial statement, report or certificate furnished by Borrower to Lender under this Agreement proves to be untrue in any material respect as of the date on which the representation or statement was made.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6.3</w:t>
      </w:r>
      <w:r>
        <w:rPr>
          <w:rFonts w:ascii="Times New Roman;Times;serif" w:hAnsi="Times New Roman;Times;serif"/>
          <w:b/>
          <w:sz w:val="20"/>
        </w:rPr>
        <w:t xml:space="preserve">Covenants. </w:t>
      </w:r>
      <w:r>
        <w:rPr>
          <w:rFonts w:ascii="Times New Roman;Times;serif" w:hAnsi="Times New Roman;Times;serif"/>
          <w:sz w:val="20"/>
        </w:rPr>
        <w:t>Borrower fails to perform or observe any covenants or any other material provision of this Agreement, aside from payment, and such failure continues for 15 days.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6.4</w:t>
      </w:r>
      <w:r>
        <w:rPr>
          <w:rFonts w:ascii="Times New Roman;Times;serif" w:hAnsi="Times New Roman;Times;serif"/>
          <w:b/>
          <w:sz w:val="20"/>
        </w:rPr>
        <w:t xml:space="preserve">Insolvency. </w:t>
      </w:r>
      <w:r>
        <w:rPr>
          <w:rFonts w:ascii="Times New Roman;Times;serif" w:hAnsi="Times New Roman;Times;serif"/>
          <w:sz w:val="20"/>
        </w:rPr>
        <w:t>Borrower becomes insolvent, or an insolvency proceeding is commenced by Borrower or commenced against Borrower and is not dismissed or stayed within 30 days. “Insolvency proceeding” means any proceeding commenced by or against any person or entity under any provision of the United States Bankruptcy Code, as amended, or under any other bankruptcy or insolvency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6.5</w:t>
      </w:r>
      <w:r>
        <w:rPr>
          <w:rFonts w:ascii="Times New Roman;Times;serif" w:hAnsi="Times New Roman;Times;serif"/>
          <w:b/>
          <w:sz w:val="20"/>
        </w:rPr>
        <w:t xml:space="preserve">Other Agreements. </w:t>
      </w:r>
      <w:r>
        <w:rPr>
          <w:rFonts w:ascii="Times New Roman;Times;serif" w:hAnsi="Times New Roman;Times;serif"/>
          <w:sz w:val="20"/>
        </w:rPr>
        <w:t>There is a default or other failure to perform by Borrower under any agreement to which Borrower is a party resulting in a third-party right, whether or not exercised, to accelerate the maturity of any indebtedness in an amount in excess of $1,410,000 or that would reasonably be expected to have a material adverse effect on Borrower.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6.6</w:t>
      </w:r>
      <w:r>
        <w:rPr>
          <w:rFonts w:ascii="Times New Roman;Times;serif" w:hAnsi="Times New Roman;Times;serif"/>
          <w:b/>
          <w:sz w:val="20"/>
        </w:rPr>
        <w:t xml:space="preserve">Judgments. </w:t>
      </w:r>
      <w:r>
        <w:rPr>
          <w:rFonts w:ascii="Times New Roman;Times;serif" w:hAnsi="Times New Roman;Times;serif"/>
          <w:sz w:val="20"/>
        </w:rPr>
        <w:t>A judgment or judgments for the payment of money in an amount, individually or in the aggregate, of at least $1,410,000 shall be rendered against Borrower and shall remain unsatisfied and unstayed for a period of 10 days.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7.</w:t>
      </w:r>
      <w:r>
        <w:rPr>
          <w:rFonts w:ascii="Times New Roman;Times;serif" w:hAnsi="Times New Roman;Times;serif"/>
          <w:b/>
          <w:sz w:val="20"/>
        </w:rPr>
        <w:t>RIGHTS AND REMEDIES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an event of default exists, Lender may terminate this Agreement and declare the outstanding balance of the Loan immediately due and payable. Lender’s rights and remedies under this Agreement and all other agreements shall be cumulative. No exercise by Lender of one right or remedy shall be deemed an election of, or waiver of, any other right or remedy.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145"/>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w:t>
      </w:r>
      <w:r>
        <w:rPr>
          <w:rFonts w:ascii="Times New Roman;Times;serif" w:hAnsi="Times New Roman;Times;serif"/>
          <w:b/>
          <w:sz w:val="20"/>
        </w:rPr>
        <w:t>RELATIONSHIP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8.1</w:t>
      </w:r>
      <w:r>
        <w:rPr>
          <w:rFonts w:ascii="Times New Roman;Times;serif" w:hAnsi="Times New Roman;Times;serif"/>
          <w:b/>
          <w:sz w:val="20"/>
        </w:rPr>
        <w:t xml:space="preserve">Independent Organizations. </w:t>
      </w:r>
      <w:r>
        <w:rPr>
          <w:rFonts w:ascii="Times New Roman;Times;serif" w:hAnsi="Times New Roman;Times;serif"/>
          <w:sz w:val="20"/>
        </w:rPr>
        <w:t>Lender and Borrower are separate corporate entities and independent contracting parties. Borrower acknowledges that the conduct of Borrower and its employees and agents, and any other legal obligations of Borrower, are the sole responsibility of Borrower. This Agreement and its performance will not create a partnership, joint venture, employment, fiduciary, or similar relationship for any purpose.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8.2</w:t>
      </w:r>
      <w:r>
        <w:rPr>
          <w:rFonts w:ascii="Times New Roman;Times;serif" w:hAnsi="Times New Roman;Times;serif"/>
          <w:b/>
          <w:sz w:val="20"/>
        </w:rPr>
        <w:t xml:space="preserve">Confidentiality. </w:t>
      </w:r>
      <w:r>
        <w:rPr>
          <w:rFonts w:ascii="Times New Roman;Times;serif" w:hAnsi="Times New Roman;Times;serif"/>
          <w:sz w:val="20"/>
        </w:rPr>
        <w:t>Each party shall keep confidential and shall not disclose or use for its benefit or the benefit of any third party, other than in connection with its activities under this Agreement, any confidential information obtained from the other party, without obtaining the other party’s prior written consent, except to the extent that such confidential information is required to be disclosed by law. Confidential information does not include information that: (i) is or becomes generally available to the public other than as a result of a disclosure by either party; (ii) was known by either party before being furnished by the other party; (iii) is independently developed by either party without use, directly or indirectly, of any confidential information or (iv) is or becomes available to either party on a non-confidential basis from a source other than the other party.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8.3</w:t>
      </w:r>
      <w:r>
        <w:rPr>
          <w:rFonts w:ascii="Times New Roman;Times;serif" w:hAnsi="Times New Roman;Times;serif"/>
          <w:b/>
          <w:sz w:val="20"/>
        </w:rPr>
        <w:t xml:space="preserve">Indemnification. </w:t>
      </w:r>
      <w:r>
        <w:rPr>
          <w:rFonts w:ascii="Times New Roman;Times;serif" w:hAnsi="Times New Roman;Times;serif"/>
          <w:sz w:val="20"/>
        </w:rPr>
        <w:t>Borrower shall defend, indemnify, and hold Lender, and its directors, officers, employees, agents, and affiliates, harmless from and against any and all claims, liabilities, losses, damages, and expenses, including, without limitation, reasonable attorneys’ fees and expenses, that may arise, directly or indirectly, from (i) any breach by Borrower of its obligations under this Agreement; or (ii) any other act or omission by Borrower. Borrower shall have no obligation to indemnify Lender to the extent the liability is solely caused by Lender’s gross negligence or willful misconduct.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8.4</w:t>
      </w:r>
      <w:r>
        <w:rPr>
          <w:rFonts w:ascii="Times New Roman;Times;serif" w:hAnsi="Times New Roman;Times;serif"/>
          <w:b/>
          <w:sz w:val="20"/>
        </w:rPr>
        <w:t xml:space="preserve">Inspection. </w:t>
      </w:r>
      <w:r>
        <w:rPr>
          <w:rFonts w:ascii="Times New Roman;Times;serif" w:hAnsi="Times New Roman;Times;serif"/>
          <w:sz w:val="20"/>
        </w:rPr>
        <w:t>Borrower shall permit Lender, or any persons designated by Lender, at any reasonable time, to inspect Borrower’s facilities and to inspect, audit, examine and make copies of Borrower’s books, records, and accounts.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w:t>
      </w:r>
      <w:r>
        <w:rPr>
          <w:rFonts w:ascii="Times New Roman;Times;serif" w:hAnsi="Times New Roman;Times;serif"/>
          <w:b/>
          <w:sz w:val="20"/>
        </w:rPr>
        <w:t>GENERAL PROVISIONS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9.1</w:t>
      </w:r>
      <w:r>
        <w:rPr>
          <w:rFonts w:ascii="Times New Roman;Times;serif" w:hAnsi="Times New Roman;Times;serif"/>
          <w:b/>
          <w:sz w:val="20"/>
        </w:rPr>
        <w:t xml:space="preserve">Entire Agreement. </w:t>
      </w:r>
      <w:r>
        <w:rPr>
          <w:rFonts w:ascii="Times New Roman;Times;serif" w:hAnsi="Times New Roman;Times;serif"/>
          <w:sz w:val="20"/>
        </w:rPr>
        <w:t>This Agreement is the entire agreement between Lender and Borrower and supersedes all prior or contemporaneous communications, representations, understandings, and agreements, either oral or written, relating to the lending relationship contemplated by the subject matter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9.2</w:t>
      </w:r>
      <w:r>
        <w:rPr>
          <w:rFonts w:ascii="Times New Roman;Times;serif" w:hAnsi="Times New Roman;Times;serif"/>
          <w:b/>
          <w:sz w:val="20"/>
        </w:rPr>
        <w:t xml:space="preserve">Governing Law. </w:t>
      </w:r>
      <w:r>
        <w:rPr>
          <w:rFonts w:ascii="Times New Roman;Times;serif" w:hAnsi="Times New Roman;Times;serif"/>
          <w:sz w:val="20"/>
        </w:rPr>
        <w:t>This Agreement shall be governed by the laws of the State of North Carolina.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9.3</w:t>
      </w:r>
      <w:r>
        <w:rPr>
          <w:rFonts w:ascii="Times New Roman;Times;serif" w:hAnsi="Times New Roman;Times;serif"/>
          <w:b/>
          <w:sz w:val="20"/>
        </w:rPr>
        <w:t xml:space="preserve">Assignment. </w:t>
      </w:r>
      <w:r>
        <w:rPr>
          <w:rFonts w:ascii="Times New Roman;Times;serif" w:hAnsi="Times New Roman;Times;serif"/>
          <w:sz w:val="20"/>
        </w:rPr>
        <w:t>Borrower will not assign its rights or delegate its duties under this Agreement without first obtaining the written consent of Lender. For purposes of this Agreement, an assignment includes, without limitation, a merger in which Lender is not the surviving entity; a consolidation involving Borrower; any amendment to Borrower’s Articles of Incorporation or Bylaws, issuance by Borrower or sale or other transfer by holders of shares or other equity interests in Borrower, or any other action that has the effect of transferring to a single entity or person the power to elect a majority of the Borrower’s Board of Directors.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9.4</w:t>
      </w:r>
      <w:r>
        <w:rPr>
          <w:rFonts w:ascii="Times New Roman;Times;serif" w:hAnsi="Times New Roman;Times;serif"/>
          <w:b/>
          <w:sz w:val="20"/>
        </w:rPr>
        <w:t xml:space="preserve">Waiver. </w:t>
      </w:r>
      <w:r>
        <w:rPr>
          <w:rFonts w:ascii="Times New Roman;Times;serif" w:hAnsi="Times New Roman;Times;serif"/>
          <w:sz w:val="20"/>
        </w:rPr>
        <w:t>Any waiver of the provisions of this Agreement or of Lender’s or Borrower’s rights or remedies under this Agreement must be in writing and signed by the waiving party to be effective. Failure, neglect, or delay by Lender at any time to enforce the provisions of this Agreement or its rights or remedies will not be construed as a waiver of its rights, powers, or remedies under this Agreement. Waiver of any breach or provision of this Agreement, including, without limitation, any Event of Default, will not be considered a waiver of any later breach or of the right to enforce any provision of this Agreement. Borrower waives diligence, presentment, protest, demand and notice of any kind.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9.5</w:t>
      </w:r>
      <w:r>
        <w:rPr>
          <w:rFonts w:ascii="Times New Roman;Times;serif" w:hAnsi="Times New Roman;Times;serif"/>
          <w:b/>
          <w:sz w:val="20"/>
        </w:rPr>
        <w:t xml:space="preserve">Severability. </w:t>
      </w:r>
      <w:r>
        <w:rPr>
          <w:rFonts w:ascii="Times New Roman;Times;serif" w:hAnsi="Times New Roman;Times;serif"/>
          <w:sz w:val="20"/>
        </w:rPr>
        <w:t>If any provision of this Agreement is held illegal, invalid, or unenforceable, all other provisions of this Agreement will nevertheless be effective, and the illegal, invalid, or unenforceable provision will be considered modified such that it is valid to the maximum extent permitted by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9.6</w:t>
      </w:r>
      <w:r>
        <w:rPr>
          <w:rFonts w:ascii="Times New Roman;Times;serif" w:hAnsi="Times New Roman;Times;serif"/>
          <w:b/>
          <w:sz w:val="20"/>
        </w:rPr>
        <w:t xml:space="preserve">Amendments. </w:t>
      </w:r>
      <w:r>
        <w:rPr>
          <w:rFonts w:ascii="Times New Roman;Times;serif" w:hAnsi="Times New Roman;Times;serif"/>
          <w:sz w:val="20"/>
        </w:rPr>
        <w:t>This Agreement may be amended only as stated in a written document signed by both Lender and Borrower which states that it is an amendment to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9.7</w:t>
      </w:r>
      <w:r>
        <w:rPr>
          <w:rFonts w:ascii="Times New Roman;Times;serif" w:hAnsi="Times New Roman;Times;serif"/>
          <w:b/>
          <w:sz w:val="20"/>
        </w:rPr>
        <w:t xml:space="preserve">Notices. </w:t>
      </w:r>
      <w:r>
        <w:rPr>
          <w:rFonts w:ascii="Times New Roman;Times;serif" w:hAnsi="Times New Roman;Times;serif"/>
          <w:sz w:val="20"/>
        </w:rPr>
        <w:t>Any notices, approvals, consents or other communications required to be given by either party pursuant to this Agreement shall be in writing and delivered by mail, courier, e-mail message, or fax to the addresses set out on the signature page. These addresses may be changed by written notice to the other party.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9.8</w:t>
      </w:r>
      <w:r>
        <w:rPr>
          <w:rFonts w:ascii="Times New Roman;Times;serif" w:hAnsi="Times New Roman;Times;serif"/>
          <w:b/>
          <w:sz w:val="20"/>
        </w:rPr>
        <w:t xml:space="preserve">Counterparts. </w:t>
      </w:r>
      <w:r>
        <w:rPr>
          <w:rFonts w:ascii="Times New Roman;Times;serif" w:hAnsi="Times New Roman;Times;serif"/>
          <w:sz w:val="20"/>
        </w:rPr>
        <w:t>This Agreement may be executed in one or more counterparts, each of which will be deemed an original and all of which will be taken together and deemed to be one instrument. Transmission by fax or PDF of executed counterparts will constitute effective delivery.</w:t>
      </w:r>
    </w:p>
    <w:p>
      <w:pPr>
        <w:pStyle w:val="TextBody"/>
        <w:bidi w:val="0"/>
        <w:spacing w:before="0" w:after="240"/>
        <w:ind w:left="0" w:right="0" w:hanging="0"/>
        <w:jc w:val="center"/>
        <w:rPr>
          <w:rFonts w:ascii="Times New Roman;Times;serif" w:hAnsi="Times New Roman;Times;serif"/>
          <w:sz w:val="16"/>
        </w:rPr>
      </w:pPr>
      <w:r>
        <w:rPr>
          <w:rFonts w:ascii="Times New Roman;Times;serif" w:hAnsi="Times New Roman;Times;serif"/>
          <w:sz w:val="16"/>
        </w:rPr>
        <w:t>* * * * * * * *</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Lender and Borrower signed this Agreement as of the date set out in its first paragraph.</w:t>
      </w:r>
    </w:p>
    <w:tbl>
      <w:tblPr>
        <w:tblW w:w="4649" w:type="dxa"/>
        <w:jc w:val="center"/>
        <w:tblInd w:w="0" w:type="dxa"/>
        <w:tblLayout w:type="fixed"/>
        <w:tblCellMar>
          <w:top w:w="0" w:type="dxa"/>
          <w:left w:w="0" w:type="dxa"/>
          <w:bottom w:w="0" w:type="dxa"/>
          <w:right w:w="0" w:type="dxa"/>
        </w:tblCellMar>
      </w:tblPr>
      <w:tblGrid>
        <w:gridCol w:w="124"/>
        <w:gridCol w:w="4525"/>
      </w:tblGrid>
      <w:tr>
        <w:trPr/>
        <w:tc>
          <w:tcPr>
            <w:tcW w:w="124" w:type="dxa"/>
            <w:tcBorders/>
            <w:vAlign w:val="center"/>
          </w:tcPr>
          <w:p>
            <w:pPr>
              <w:pStyle w:val="TableContents"/>
              <w:bidi w:val="0"/>
              <w:spacing w:before="0" w:after="0"/>
              <w:ind w:left="0" w:right="0" w:hanging="0"/>
              <w:jc w:val="left"/>
              <w:rPr/>
            </w:pPr>
            <w:r>
              <w:rPr/>
              <w:t>​</w:t>
            </w:r>
          </w:p>
        </w:tc>
        <w:tc>
          <w:tcPr>
            <w:tcW w:w="4525"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25" w:type="dxa"/>
            <w:tcBorders/>
            <w:vAlign w:val="center"/>
          </w:tcPr>
          <w:p>
            <w:pPr>
              <w:pStyle w:val="TableContents"/>
              <w:bidi w:val="0"/>
              <w:spacing w:before="0" w:after="0"/>
              <w:ind w:left="0" w:right="0" w:hanging="0"/>
              <w:jc w:val="center"/>
              <w:rPr/>
            </w:pPr>
            <w:r>
              <w:rPr/>
              <w:drawing>
                <wp:inline distT="0" distB="0" distL="0" distR="0">
                  <wp:extent cx="2790190" cy="2542540"/>
                  <wp:effectExtent l="0" t="0" r="0" b="0"/>
                  <wp:docPr id="65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 name="Image5" descr=""/>
                          <pic:cNvPicPr>
                            <a:picLocks noChangeAspect="1" noChangeArrowheads="1"/>
                          </pic:cNvPicPr>
                        </pic:nvPicPr>
                        <pic:blipFill>
                          <a:blip r:embed="rId20"/>
                          <a:stretch>
                            <a:fillRect/>
                          </a:stretch>
                        </pic:blipFill>
                        <pic:spPr bwMode="auto">
                          <a:xfrm>
                            <a:off x="0" y="0"/>
                            <a:ext cx="2790190" cy="2542540"/>
                          </a:xfrm>
                          <a:prstGeom prst="rect">
                            <a:avLst/>
                          </a:prstGeom>
                        </pic:spPr>
                      </pic:pic>
                    </a:graphicData>
                  </a:graphic>
                </wp:inline>
              </w:drawing>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240"/>
        <w:ind w:left="2940" w:right="0" w:hanging="0"/>
        <w:jc w:val="right"/>
        <w:rPr>
          <w:rFonts w:ascii="Times New Roman;Times;serif" w:hAnsi="Times New Roman;Times;serif"/>
          <w:b/>
          <w:sz w:val="24"/>
        </w:rPr>
      </w:pPr>
      <w:bookmarkStart w:id="1443" w:name="ctnt-20260630xex10d15.htm"/>
      <w:bookmarkStart w:id="1444" w:name="ksctnt20260630xex10d15"/>
      <w:bookmarkEnd w:id="1443"/>
      <w:bookmarkEnd w:id="1444"/>
      <w:r>
        <w:rPr>
          <w:rFonts w:ascii="Times New Roman;Times;serif" w:hAnsi="Times New Roman;Times;serif"/>
          <w:b/>
          <w:sz w:val="24"/>
        </w:rPr>
        <w:t>Exhibit 10.15</w:t>
      </w:r>
      <w:r>
        <w:br w:type="page"/>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EXTENSION AGREEMENT</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This Loan Extension Agreement (“Extension Agreement”) is entered into as of June 13, 2026, by and between Cheetah Net Supply Chain Service Inc. (“Lender”), and Asia Finance Investment Limited. (“Borrower”).</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WHEREAS, Lender and Borrower entered into that certain Loan Agreement dated as of June 13, 2025 (the “Original Loan Agreement”) with the original principal amount of $169,750.00;</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sz w:val="24"/>
        </w:rPr>
        <w:t xml:space="preserve">WHEREAS, </w:t>
      </w:r>
      <w:r>
        <w:rPr>
          <w:rFonts w:ascii="Times New Roman;Times;serif" w:hAnsi="Times New Roman;Times;serif"/>
          <w:sz w:val="24"/>
        </w:rPr>
        <w:t>the Original Loan Agreement is scheduled to mature on June 12, 2026;</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WHEREAS, as of the date hereof, Borrower has repaid an aggregate amount of $0. The remaining outstanding principal amount owed under the Original Loan Agreement is $169,750.00, and the accrued interest receivable is $13,768.61 as of the date first written above;</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WHEREAS, the parties desire to extend the Maturity Date of the Loan by one (1) year on the terms set forth herein, with the principal amount of $169,750.00.</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NOW THEREFORE, in consideration of the mutual promises herein, the parties agree as follows:</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Extension of Maturity Date. The Maturity Date of the Loan shall be extended for one (1) year and shall now mature on June 12, 2027.</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Interest Adjustment. Effective as of June 13, 2026, the interest rate under the Loan shall be reduced to five percent (5%) per annum.</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Interest Treatment. The accrued and unpaid interest of $13,768.61 under the Original Loan Agreement shall remain payable under the original terms and shall not be included in the principal amount under this Extension Agreement.</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No Other Changes. Except as expressly amended herein, all other terms, provisions, obligations and covenants of the Original Loan Agreement remain unchanged, valid, binding and in full force and effect.</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Governing Law. This Extension Agreement shall be governed by and construed in accordance with the laws applicable to the Original Loan Agreement.</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IN WITNESS WHEREOF, the parties have executed this Extension Agreement as of the date first written above.</w:t>
      </w:r>
    </w:p>
    <w:p>
      <w:pPr>
        <w:pStyle w:val="TextBody"/>
        <w:bidi w:val="0"/>
        <w:spacing w:before="0" w:after="240"/>
        <w:ind w:left="20" w:right="0" w:firstLine="716"/>
        <w:jc w:val="left"/>
        <w:rPr/>
      </w:pPr>
      <w:r>
        <w:rPr/>
        <w:t>​</w:t>
      </w:r>
    </w:p>
    <w:p>
      <w:pPr>
        <w:pStyle w:val="TextBody"/>
        <w:bidi w:val="0"/>
        <w:spacing w:before="0" w:after="240"/>
        <w:ind w:left="0" w:right="0" w:hanging="0"/>
        <w:jc w:val="left"/>
        <w:rPr/>
      </w:pPr>
      <w:r>
        <w:rPr/>
        <w:drawing>
          <wp:inline distT="0" distB="0" distL="0" distR="0">
            <wp:extent cx="2385060" cy="1203960"/>
            <wp:effectExtent l="0" t="0" r="0" b="0"/>
            <wp:docPr id="65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 name="Image6" descr=""/>
                    <pic:cNvPicPr>
                      <a:picLocks noChangeAspect="1" noChangeArrowheads="1"/>
                    </pic:cNvPicPr>
                  </pic:nvPicPr>
                  <pic:blipFill>
                    <a:blip r:embed="rId21"/>
                    <a:stretch>
                      <a:fillRect/>
                    </a:stretch>
                  </pic:blipFill>
                  <pic:spPr bwMode="auto">
                    <a:xfrm>
                      <a:off x="0" y="0"/>
                      <a:ext cx="2385060" cy="1203960"/>
                    </a:xfrm>
                    <a:prstGeom prst="rect">
                      <a:avLst/>
                    </a:prstGeom>
                  </pic:spPr>
                </pic:pic>
              </a:graphicData>
            </a:graphic>
          </wp:inline>
        </w:drawing>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w:t>
      </w:r>
    </w:p>
    <w:p>
      <w:pPr>
        <w:pStyle w:val="TextBody"/>
        <w:bidi w:val="0"/>
        <w:spacing w:before="0" w:after="240"/>
        <w:ind w:left="0" w:right="0" w:hanging="0"/>
        <w:jc w:val="left"/>
        <w:rPr/>
      </w:pPr>
      <w:r>
        <w:rPr/>
        <w:drawing>
          <wp:inline distT="0" distB="0" distL="0" distR="0">
            <wp:extent cx="2413000" cy="1371600"/>
            <wp:effectExtent l="0" t="0" r="0" b="0"/>
            <wp:docPr id="65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 name="Image7" descr=""/>
                    <pic:cNvPicPr>
                      <a:picLocks noChangeAspect="1" noChangeArrowheads="1"/>
                    </pic:cNvPicPr>
                  </pic:nvPicPr>
                  <pic:blipFill>
                    <a:blip r:embed="rId22"/>
                    <a:stretch>
                      <a:fillRect/>
                    </a:stretch>
                  </pic:blipFill>
                  <pic:spPr bwMode="auto">
                    <a:xfrm>
                      <a:off x="0" y="0"/>
                      <a:ext cx="2413000" cy="1371600"/>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4"/>
        </w:rPr>
      </w:pPr>
      <w:bookmarkStart w:id="1445" w:name="ctnt-20260630xex10d16.htm"/>
      <w:bookmarkStart w:id="1446" w:name="ksctnt20260630xex10d16"/>
      <w:bookmarkEnd w:id="1445"/>
      <w:bookmarkEnd w:id="1446"/>
      <w:r>
        <w:rPr>
          <w:rFonts w:ascii="Times New Roman;Times;serif" w:hAnsi="Times New Roman;Times;serif"/>
          <w:b/>
          <w:sz w:val="24"/>
        </w:rPr>
        <w:t>Exhibit 10.16</w:t>
      </w:r>
      <w:r>
        <w:br w:type="page"/>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EXTENSION AGREEMENT</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This Loan Extension Agreement (“Extension Agreement”) is entered into as of June 26, 2026, by and between Cheetah Net Supply Chain Service Inc. (“Lender”), and Asia Finance Investment Limited. (“Borrower”).</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WHEREAS, Lender and Borrower entered into that certain Loan Agreement dated as of June 26, 2025 (the “Original Loan Agreement”) with the original principal amount of $200,000.00;</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sz w:val="24"/>
        </w:rPr>
        <w:t xml:space="preserve">WHEREAS, </w:t>
      </w:r>
      <w:r>
        <w:rPr>
          <w:rFonts w:ascii="Times New Roman;Times;serif" w:hAnsi="Times New Roman;Times;serif"/>
          <w:sz w:val="24"/>
        </w:rPr>
        <w:t>the Original Loan Agreement is scheduled to mature on June 25, 2026;</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WHEREAS, as of the date hereof, Borrower has repaid an aggregate amount of $0. The remaining outstanding principal amount owed under the Original Loan Agreement is $200,000.00, and the accrued interest receivable is $16,222.22 as of the date first written above;</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WHEREAS, the parties desire to extend the Maturity Date of the Loan by one (1) year on the terms set forth herein, with the principal amount of $200,000.00.</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NOW THEREFORE, in consideration of the mutual promises herein, the parties agree as follows :</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Extension of Maturity Date. The Maturity Date of the Loan shall be extended for one (1) year and shall now mature on June 25, 2027.</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Interest Adjustment. Effective as of June 26, 2026, the interest rate under the Loan shall be reduced to five percent (5%) per annum.</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Interest Treatment. The accrued and unpaid interest of $16,222.22 under the Original Loan Agreement shall remain payable under the original terms and shall not be included in the principal amount under this Extension Agreement.</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No Other Changes. Except as expressly amended herein, all other terms, provisions, obligations and covenants of the Original Loan Agreement remain unchanged, valid, binding and in full force and effect.</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Governing Law. This Extension Agreement shall be governed by and construed in accordance with the laws applicable to the Original Loan Agreement.</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IN WITNESS WHEREOF, the parties have executed this Extension Agreement as of the date first written above.</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drawing>
          <wp:inline distT="0" distB="0" distL="0" distR="0">
            <wp:extent cx="2385060" cy="1203960"/>
            <wp:effectExtent l="0" t="0" r="0" b="0"/>
            <wp:docPr id="65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 name="Image8" descr=""/>
                    <pic:cNvPicPr>
                      <a:picLocks noChangeAspect="1" noChangeArrowheads="1"/>
                    </pic:cNvPicPr>
                  </pic:nvPicPr>
                  <pic:blipFill>
                    <a:blip r:embed="rId23"/>
                    <a:stretch>
                      <a:fillRect/>
                    </a:stretch>
                  </pic:blipFill>
                  <pic:spPr bwMode="auto">
                    <a:xfrm>
                      <a:off x="0" y="0"/>
                      <a:ext cx="2385060" cy="1203960"/>
                    </a:xfrm>
                    <a:prstGeom prst="rect">
                      <a:avLst/>
                    </a:prstGeom>
                  </pic:spPr>
                </pic:pic>
              </a:graphicData>
            </a:graphic>
          </wp:inline>
        </w:drawing>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left"/>
        <w:rPr/>
      </w:pPr>
      <w:r>
        <w:rPr/>
        <w:drawing>
          <wp:inline distT="0" distB="0" distL="0" distR="0">
            <wp:extent cx="2468880" cy="1211580"/>
            <wp:effectExtent l="0" t="0" r="0" b="0"/>
            <wp:docPr id="65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 name="Image9" descr=""/>
                    <pic:cNvPicPr>
                      <a:picLocks noChangeAspect="1" noChangeArrowheads="1"/>
                    </pic:cNvPicPr>
                  </pic:nvPicPr>
                  <pic:blipFill>
                    <a:blip r:embed="rId24"/>
                    <a:stretch>
                      <a:fillRect/>
                    </a:stretch>
                  </pic:blipFill>
                  <pic:spPr bwMode="auto">
                    <a:xfrm>
                      <a:off x="0" y="0"/>
                      <a:ext cx="2468880" cy="1211580"/>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136"/>
        <w:ind w:left="0" w:right="0" w:hanging="0"/>
        <w:jc w:val="right"/>
        <w:rPr>
          <w:rFonts w:ascii="Times New Roman;Times;serif" w:hAnsi="Times New Roman;Times;serif"/>
          <w:b/>
          <w:sz w:val="20"/>
        </w:rPr>
      </w:pPr>
      <w:bookmarkStart w:id="1447" w:name="ctnt-20260630xex10d17.htm"/>
      <w:bookmarkStart w:id="1448" w:name="ksctnt20260630xex10d17"/>
      <w:bookmarkEnd w:id="1447"/>
      <w:bookmarkEnd w:id="1448"/>
      <w:r>
        <w:rPr>
          <w:rFonts w:ascii="Times New Roman;Times;serif" w:hAnsi="Times New Roman;Times;serif"/>
          <w:b/>
          <w:sz w:val="20"/>
        </w:rPr>
        <w:t>Exhibit 10.17</w:t>
      </w:r>
      <w:r>
        <w:br w:type="page"/>
      </w:r>
    </w:p>
    <w:p>
      <w:pPr>
        <w:pStyle w:val="TextBody"/>
        <w:bidi w:val="0"/>
        <w:spacing w:before="0" w:after="136"/>
        <w:ind w:left="0" w:right="0" w:hanging="0"/>
        <w:jc w:val="center"/>
        <w:rPr>
          <w:rFonts w:ascii="Times New Roman;Times;serif" w:hAnsi="Times New Roman;Times;serif"/>
          <w:b/>
          <w:sz w:val="32"/>
        </w:rPr>
      </w:pPr>
      <w:r>
        <w:rPr>
          <w:rFonts w:ascii="Times New Roman;Times;serif" w:hAnsi="Times New Roman;Times;serif"/>
          <w:b/>
          <w:sz w:val="32"/>
        </w:rPr>
        <w:t>PURCHASE CONTRACT</w:t>
      </w:r>
    </w:p>
    <w:p>
      <w:pPr>
        <w:pStyle w:val="TextBody"/>
        <w:bidi w:val="0"/>
        <w:spacing w:before="0" w:after="15"/>
        <w:ind w:left="0" w:right="0" w:hanging="0"/>
        <w:jc w:val="center"/>
        <w:rPr>
          <w:rFonts w:ascii="Times New Roman;Times;serif" w:hAnsi="Times New Roman;Times;serif"/>
          <w:sz w:val="19"/>
        </w:rPr>
      </w:pPr>
      <w:r>
        <w:rPr>
          <w:rFonts w:ascii="Times New Roman;Times;serif" w:hAnsi="Times New Roman;Times;serif"/>
          <w:sz w:val="19"/>
        </w:rPr>
        <w:t>June 9, 2026</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b/>
          <w:sz w:val="21"/>
        </w:rPr>
      </w:pPr>
      <w:r>
        <w:rPr>
          <w:rFonts w:ascii="Times New Roman;Times;serif" w:hAnsi="Times New Roman;Times;serif"/>
          <w:b/>
          <w:sz w:val="21"/>
        </w:rPr>
        <w:t>BUYER</w:t>
      </w:r>
    </w:p>
    <w:p>
      <w:pPr>
        <w:pStyle w:val="TextBody"/>
        <w:bidi w:val="0"/>
        <w:spacing w:before="0" w:after="0"/>
        <w:ind w:left="0" w:right="0" w:hanging="0"/>
        <w:jc w:val="left"/>
        <w:rPr>
          <w:rFonts w:ascii="Times New Roman;Times;serif" w:hAnsi="Times New Roman;Times;serif"/>
          <w:sz w:val="19"/>
        </w:rPr>
      </w:pPr>
      <w:r>
        <w:rPr>
          <w:rFonts w:ascii="Times New Roman;Times;serif" w:hAnsi="Times New Roman;Times;serif"/>
          <w:sz w:val="19"/>
        </w:rPr>
        <w:t>Cheetah Net Supply Chain Service Inc.</w:t>
      </w:r>
    </w:p>
    <w:p>
      <w:pPr>
        <w:pStyle w:val="TextBody"/>
        <w:bidi w:val="0"/>
        <w:spacing w:before="0" w:after="120"/>
        <w:ind w:left="0" w:right="0" w:hanging="0"/>
        <w:jc w:val="left"/>
        <w:rPr>
          <w:rFonts w:ascii="Times New Roman;Times;serif" w:hAnsi="Times New Roman;Times;serif"/>
          <w:sz w:val="19"/>
        </w:rPr>
      </w:pPr>
      <w:r>
        <w:rPr>
          <w:rFonts w:ascii="Times New Roman;Times;serif" w:hAnsi="Times New Roman;Times;serif"/>
          <w:sz w:val="19"/>
        </w:rPr>
        <w:t>Address: 8707 Research Drive, Irvine, CA 92618</w:t>
      </w:r>
    </w:p>
    <w:p>
      <w:pPr>
        <w:pStyle w:val="TextBody"/>
        <w:bidi w:val="0"/>
        <w:spacing w:before="0" w:after="120"/>
        <w:ind w:left="0" w:right="0" w:hanging="0"/>
        <w:jc w:val="left"/>
        <w:rPr>
          <w:rFonts w:ascii="Times New Roman;Times;serif" w:hAnsi="Times New Roman;Times;serif"/>
          <w:b/>
          <w:sz w:val="21"/>
        </w:rPr>
      </w:pPr>
      <w:r>
        <w:rPr>
          <w:rFonts w:ascii="Times New Roman;Times;serif" w:hAnsi="Times New Roman;Times;serif"/>
          <w:b/>
          <w:sz w:val="21"/>
        </w:rPr>
        <w:t>SELLER</w:t>
      </w:r>
    </w:p>
    <w:p>
      <w:pPr>
        <w:pStyle w:val="TextBody"/>
        <w:bidi w:val="0"/>
        <w:spacing w:before="0" w:after="0"/>
        <w:ind w:left="0" w:right="0" w:hanging="0"/>
        <w:jc w:val="left"/>
        <w:rPr>
          <w:rFonts w:ascii="Times New Roman;Times;serif" w:hAnsi="Times New Roman;Times;serif"/>
          <w:sz w:val="19"/>
        </w:rPr>
      </w:pPr>
      <w:r>
        <w:rPr>
          <w:rFonts w:ascii="Times New Roman;Times;serif" w:hAnsi="Times New Roman;Times;serif"/>
          <w:sz w:val="19"/>
        </w:rPr>
        <w:t>Eurosun Holdings Inc Corporation</w:t>
      </w:r>
    </w:p>
    <w:p>
      <w:pPr>
        <w:pStyle w:val="TextBody"/>
        <w:bidi w:val="0"/>
        <w:spacing w:before="0" w:after="120"/>
        <w:ind w:left="0" w:right="0" w:hanging="0"/>
        <w:jc w:val="left"/>
        <w:rPr>
          <w:rFonts w:ascii="Times New Roman;Times;serif" w:hAnsi="Times New Roman;Times;serif"/>
          <w:sz w:val="19"/>
        </w:rPr>
      </w:pPr>
      <w:r>
        <w:rPr>
          <w:rFonts w:ascii="Times New Roman;Times;serif" w:hAnsi="Times New Roman;Times;serif"/>
          <w:sz w:val="19"/>
        </w:rPr>
        <w:t>Address:</w:t>
      </w:r>
    </w:p>
    <w:p>
      <w:pPr>
        <w:pStyle w:val="TextBody"/>
        <w:bidi w:val="0"/>
        <w:spacing w:before="0" w:after="120"/>
        <w:ind w:left="0" w:right="0" w:hanging="0"/>
        <w:jc w:val="left"/>
        <w:rPr>
          <w:rFonts w:ascii="Times New Roman;Times;serif" w:hAnsi="Times New Roman;Times;serif"/>
          <w:sz w:val="19"/>
        </w:rPr>
      </w:pPr>
      <w:r>
        <w:rPr>
          <w:rFonts w:ascii="Times New Roman;Times;serif" w:hAnsi="Times New Roman;Times;serif"/>
          <w:sz w:val="19"/>
        </w:rPr>
        <w:t>Buyer agrees to purchase and Seller agrees to sell the Goods described herein, subject to the terms and conditions set forth in this Contract.</w:t>
      </w:r>
    </w:p>
    <w:tbl>
      <w:tblPr>
        <w:tblW w:w="970" w:type="dxa"/>
        <w:jc w:val="left"/>
        <w:tblInd w:w="0" w:type="dxa"/>
        <w:tblLayout w:type="fixed"/>
        <w:tblCellMar>
          <w:top w:w="0" w:type="dxa"/>
          <w:left w:w="0" w:type="dxa"/>
          <w:bottom w:w="0" w:type="dxa"/>
          <w:right w:w="0" w:type="dxa"/>
        </w:tblCellMar>
      </w:tblPr>
      <w:tblGrid>
        <w:gridCol w:w="185"/>
        <w:gridCol w:w="785"/>
      </w:tblGrid>
      <w:tr>
        <w:trPr/>
        <w:tc>
          <w:tcPr>
            <w:tcW w:w="185" w:type="dxa"/>
            <w:tcBorders/>
            <w:vAlign w:val="center"/>
          </w:tcPr>
          <w:p>
            <w:pPr>
              <w:pStyle w:val="TableContents"/>
              <w:bidi w:val="0"/>
              <w:spacing w:before="0" w:after="103"/>
              <w:jc w:val="left"/>
              <w:rPr>
                <w:rFonts w:ascii="Times New Roman;Times;serif" w:hAnsi="Times New Roman;Times;serif"/>
                <w:b/>
                <w:sz w:val="21"/>
              </w:rPr>
            </w:pPr>
            <w:r>
              <w:rPr>
                <w:rFonts w:ascii="Times New Roman;Times;serif" w:hAnsi="Times New Roman;Times;serif"/>
                <w:b/>
                <w:sz w:val="21"/>
              </w:rPr>
              <w:t>1.</w:t>
            </w:r>
          </w:p>
        </w:tc>
        <w:tc>
          <w:tcPr>
            <w:tcW w:w="785" w:type="dxa"/>
            <w:tcBorders/>
            <w:vAlign w:val="center"/>
          </w:tcPr>
          <w:p>
            <w:pPr>
              <w:pStyle w:val="TableContents"/>
              <w:bidi w:val="0"/>
              <w:spacing w:before="0" w:after="103"/>
              <w:jc w:val="left"/>
              <w:rPr>
                <w:rFonts w:ascii="Times New Roman;Times;serif" w:hAnsi="Times New Roman;Times;serif"/>
                <w:b/>
                <w:sz w:val="21"/>
              </w:rPr>
            </w:pPr>
            <w:r>
              <w:rPr>
                <w:rFonts w:ascii="Times New Roman;Times;serif" w:hAnsi="Times New Roman;Times;serif"/>
                <w:b/>
                <w:sz w:val="21"/>
              </w:rPr>
              <w:t>GOODS</w:t>
            </w:r>
          </w:p>
        </w:tc>
      </w:tr>
    </w:tbl>
    <w:p>
      <w:pPr>
        <w:pStyle w:val="TextBody"/>
        <w:bidi w:val="0"/>
        <w:spacing w:before="0" w:after="103"/>
        <w:ind w:left="0" w:right="0" w:hanging="0"/>
        <w:jc w:val="left"/>
        <w:rPr>
          <w:rFonts w:ascii="Times New Roman;Times;serif" w:hAnsi="Times New Roman;Times;serif"/>
          <w:sz w:val="19"/>
        </w:rPr>
      </w:pPr>
      <w:r>
        <w:rPr>
          <w:rFonts w:ascii="Times New Roman;Times;serif" w:hAnsi="Times New Roman;Times;serif"/>
          <w:sz w:val="19"/>
        </w:rPr>
        <w:t>The Goods under this Contract are 12ft LED light strips with IR Controller, in a total quantity of 100,000 units. The description, quantity, unit price and amount are as follows:</w:t>
      </w:r>
    </w:p>
    <w:tbl>
      <w:tblPr>
        <w:tblW w:w="6110" w:type="dxa"/>
        <w:jc w:val="center"/>
        <w:tblInd w:w="0" w:type="dxa"/>
        <w:tblLayout w:type="fixed"/>
        <w:tblCellMar>
          <w:top w:w="28" w:type="dxa"/>
          <w:left w:w="28" w:type="dxa"/>
          <w:bottom w:w="28" w:type="dxa"/>
          <w:right w:w="28" w:type="dxa"/>
        </w:tblCellMar>
      </w:tblPr>
      <w:tblGrid>
        <w:gridCol w:w="931"/>
        <w:gridCol w:w="1696"/>
        <w:gridCol w:w="781"/>
        <w:gridCol w:w="1201"/>
        <w:gridCol w:w="1501"/>
      </w:tblGrid>
      <w:tr>
        <w:trPr/>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Item</w:t>
            </w:r>
          </w:p>
        </w:tc>
        <w:tc>
          <w:tcPr>
            <w:tcW w:w="16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Description</w:t>
            </w:r>
          </w:p>
        </w:tc>
        <w:tc>
          <w:tcPr>
            <w:tcW w:w="7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Qty.</w:t>
            </w:r>
          </w:p>
        </w:tc>
        <w:tc>
          <w:tcPr>
            <w:tcW w:w="12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Unit Price</w:t>
            </w:r>
          </w:p>
        </w:tc>
        <w:tc>
          <w:tcPr>
            <w:tcW w:w="15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Amount</w:t>
            </w:r>
          </w:p>
        </w:tc>
      </w:tr>
      <w:tr>
        <w:trPr/>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LED Strip</w:t>
            </w:r>
          </w:p>
        </w:tc>
        <w:tc>
          <w:tcPr>
            <w:tcW w:w="16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12ft LED light strip</w:t>
              <w:br/>
              <w:t>with IR Controller</w:t>
            </w:r>
          </w:p>
        </w:tc>
        <w:tc>
          <w:tcPr>
            <w:tcW w:w="7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100,000</w:t>
            </w:r>
          </w:p>
        </w:tc>
        <w:tc>
          <w:tcPr>
            <w:tcW w:w="12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USD 1.99409</w:t>
            </w:r>
          </w:p>
        </w:tc>
        <w:tc>
          <w:tcPr>
            <w:tcW w:w="15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USD 199,409.00</w:t>
            </w:r>
          </w:p>
        </w:tc>
      </w:tr>
    </w:tbl>
    <w:p>
      <w:pPr>
        <w:pStyle w:val="TextBody"/>
        <w:bidi w:val="0"/>
        <w:spacing w:before="0" w:after="0"/>
        <w:ind w:left="0" w:right="0" w:hanging="0"/>
        <w:jc w:val="left"/>
        <w:rPr/>
      </w:pPr>
      <w:r>
        <w:rPr/>
        <w:t>​</w:t>
      </w:r>
    </w:p>
    <w:tbl>
      <w:tblPr>
        <w:tblW w:w="2095" w:type="dxa"/>
        <w:jc w:val="left"/>
        <w:tblInd w:w="0" w:type="dxa"/>
        <w:tblLayout w:type="fixed"/>
        <w:tblCellMar>
          <w:top w:w="0" w:type="dxa"/>
          <w:left w:w="0" w:type="dxa"/>
          <w:bottom w:w="0" w:type="dxa"/>
          <w:right w:w="0" w:type="dxa"/>
        </w:tblCellMar>
      </w:tblPr>
      <w:tblGrid>
        <w:gridCol w:w="185"/>
        <w:gridCol w:w="1910"/>
      </w:tblGrid>
      <w:tr>
        <w:trPr/>
        <w:tc>
          <w:tcPr>
            <w:tcW w:w="185" w:type="dxa"/>
            <w:tcBorders/>
            <w:vAlign w:val="center"/>
          </w:tcPr>
          <w:p>
            <w:pPr>
              <w:pStyle w:val="TableContents"/>
              <w:bidi w:val="0"/>
              <w:spacing w:before="0" w:after="103"/>
              <w:jc w:val="left"/>
              <w:rPr>
                <w:rFonts w:ascii="Times New Roman;Times;serif" w:hAnsi="Times New Roman;Times;serif"/>
                <w:b/>
                <w:sz w:val="21"/>
              </w:rPr>
            </w:pPr>
            <w:r>
              <w:rPr>
                <w:rFonts w:ascii="Times New Roman;Times;serif" w:hAnsi="Times New Roman;Times;serif"/>
                <w:b/>
                <w:sz w:val="21"/>
              </w:rPr>
              <w:t>2.</w:t>
            </w:r>
          </w:p>
        </w:tc>
        <w:tc>
          <w:tcPr>
            <w:tcW w:w="1910" w:type="dxa"/>
            <w:tcBorders/>
            <w:vAlign w:val="center"/>
          </w:tcPr>
          <w:p>
            <w:pPr>
              <w:pStyle w:val="TableContents"/>
              <w:bidi w:val="0"/>
              <w:spacing w:before="0" w:after="103"/>
              <w:jc w:val="left"/>
              <w:rPr>
                <w:rFonts w:ascii="Times New Roman;Times;serif" w:hAnsi="Times New Roman;Times;serif"/>
                <w:b/>
                <w:sz w:val="21"/>
              </w:rPr>
            </w:pPr>
            <w:r>
              <w:rPr>
                <w:rFonts w:ascii="Times New Roman;Times;serif" w:hAnsi="Times New Roman;Times;serif"/>
                <w:b/>
                <w:sz w:val="21"/>
              </w:rPr>
              <w:t>CONTRACT PRICE</w:t>
            </w:r>
          </w:p>
        </w:tc>
      </w:tr>
    </w:tbl>
    <w:p>
      <w:pPr>
        <w:pStyle w:val="TextBody"/>
        <w:bidi w:val="0"/>
        <w:spacing w:before="0" w:after="30"/>
        <w:ind w:left="0" w:right="0" w:hanging="0"/>
        <w:jc w:val="left"/>
        <w:rPr>
          <w:rFonts w:ascii="Times New Roman;Times;serif" w:hAnsi="Times New Roman;Times;serif"/>
          <w:sz w:val="19"/>
        </w:rPr>
      </w:pPr>
      <w:r>
        <w:rPr>
          <w:rFonts w:ascii="Times New Roman;Times;serif" w:hAnsi="Times New Roman;Times;serif"/>
          <w:sz w:val="19"/>
        </w:rPr>
        <w:t>The total Contract Price is United States Dollars One Hundred Ninety-Nine Thousand Four Hundred Nine Only (USD 199,409.00). Unless otherwise agreed in writing, the Contract Price includes all costs and expenses required for Seller to make the Goods available in accordance with the agreed delivery arrangements.</w:t>
      </w:r>
    </w:p>
    <w:p>
      <w:pPr>
        <w:pStyle w:val="TextBody"/>
        <w:bidi w:val="0"/>
        <w:spacing w:before="0" w:after="30"/>
        <w:ind w:left="0" w:right="0" w:hanging="0"/>
        <w:jc w:val="left"/>
        <w:rPr/>
      </w:pPr>
      <w:r>
        <w:rPr/>
        <w:t>​</w:t>
      </w:r>
    </w:p>
    <w:tbl>
      <w:tblPr>
        <w:tblW w:w="2050" w:type="dxa"/>
        <w:jc w:val="left"/>
        <w:tblInd w:w="0" w:type="dxa"/>
        <w:tblLayout w:type="fixed"/>
        <w:tblCellMar>
          <w:top w:w="0" w:type="dxa"/>
          <w:left w:w="0" w:type="dxa"/>
          <w:bottom w:w="0" w:type="dxa"/>
          <w:right w:w="0" w:type="dxa"/>
        </w:tblCellMar>
      </w:tblPr>
      <w:tblGrid>
        <w:gridCol w:w="185"/>
        <w:gridCol w:w="1865"/>
      </w:tblGrid>
      <w:tr>
        <w:trPr/>
        <w:tc>
          <w:tcPr>
            <w:tcW w:w="185" w:type="dxa"/>
            <w:tcBorders/>
            <w:vAlign w:val="center"/>
          </w:tcPr>
          <w:p>
            <w:pPr>
              <w:pStyle w:val="TableContents"/>
              <w:bidi w:val="0"/>
              <w:spacing w:before="0" w:after="103"/>
              <w:jc w:val="left"/>
              <w:rPr>
                <w:rFonts w:ascii="Times New Roman;Times;serif" w:hAnsi="Times New Roman;Times;serif"/>
                <w:b/>
                <w:sz w:val="21"/>
              </w:rPr>
            </w:pPr>
            <w:r>
              <w:rPr>
                <w:rFonts w:ascii="Times New Roman;Times;serif" w:hAnsi="Times New Roman;Times;serif"/>
                <w:b/>
                <w:sz w:val="21"/>
              </w:rPr>
              <w:t>3.</w:t>
            </w:r>
          </w:p>
        </w:tc>
        <w:tc>
          <w:tcPr>
            <w:tcW w:w="1865" w:type="dxa"/>
            <w:tcBorders/>
            <w:vAlign w:val="center"/>
          </w:tcPr>
          <w:p>
            <w:pPr>
              <w:pStyle w:val="TableContents"/>
              <w:bidi w:val="0"/>
              <w:spacing w:before="0" w:after="103"/>
              <w:jc w:val="left"/>
              <w:rPr>
                <w:rFonts w:ascii="Times New Roman;Times;serif" w:hAnsi="Times New Roman;Times;serif"/>
                <w:b/>
                <w:sz w:val="21"/>
              </w:rPr>
            </w:pPr>
            <w:r>
              <w:rPr>
                <w:rFonts w:ascii="Times New Roman;Times;serif" w:hAnsi="Times New Roman;Times;serif"/>
                <w:b/>
                <w:sz w:val="21"/>
              </w:rPr>
              <w:t>PAYMENT TERMS</w:t>
            </w:r>
          </w:p>
        </w:tc>
      </w:tr>
    </w:tbl>
    <w:p>
      <w:pPr>
        <w:pStyle w:val="TextBody"/>
        <w:bidi w:val="0"/>
        <w:spacing w:before="0" w:after="120"/>
        <w:ind w:left="0" w:right="0" w:hanging="0"/>
        <w:jc w:val="left"/>
        <w:rPr>
          <w:rFonts w:ascii="Times New Roman;Times;serif" w:hAnsi="Times New Roman;Times;serif"/>
          <w:sz w:val="19"/>
        </w:rPr>
      </w:pPr>
      <w:r>
        <w:rPr>
          <w:rFonts w:ascii="Times New Roman;Times;serif" w:hAnsi="Times New Roman;Times;serif"/>
          <w:sz w:val="19"/>
        </w:rPr>
        <w:t>Buyer shall pay 100% of the Contract Price in advance. Payment shall be made by T/T to the bank account designated by Seller in writing. Payment shall be deemed made when the applicable funds have been successfully remitted and credited to Seller’s designated account.</w:t>
      </w:r>
    </w:p>
    <w:p>
      <w:pPr>
        <w:pStyle w:val="TextBody"/>
        <w:bidi w:val="0"/>
        <w:spacing w:before="0" w:after="0"/>
        <w:ind w:left="360" w:right="0" w:hanging="0"/>
        <w:jc w:val="left"/>
        <w:rPr>
          <w:rFonts w:ascii="Times New Roman;Times;serif" w:hAnsi="Times New Roman;Times;serif"/>
          <w:b/>
          <w:sz w:val="19"/>
        </w:rPr>
      </w:pPr>
      <w:r>
        <w:rPr>
          <w:rFonts w:ascii="Times New Roman;Times;serif" w:hAnsi="Times New Roman;Times;serif"/>
          <w:b/>
          <w:sz w:val="19"/>
        </w:rPr>
        <w:t>Authorized Collection Account</w:t>
      </w:r>
    </w:p>
    <w:p>
      <w:pPr>
        <w:pStyle w:val="TextBody"/>
        <w:bidi w:val="0"/>
        <w:spacing w:before="0" w:after="0"/>
        <w:ind w:left="360" w:right="0" w:hanging="0"/>
        <w:jc w:val="left"/>
        <w:rPr>
          <w:rFonts w:ascii="Times New Roman;Times;serif" w:hAnsi="Times New Roman;Times;serif"/>
          <w:sz w:val="18"/>
        </w:rPr>
      </w:pPr>
      <w:r>
        <w:rPr>
          <w:rFonts w:ascii="Times New Roman;Times;serif" w:hAnsi="Times New Roman;Times;serif"/>
          <w:sz w:val="19"/>
        </w:rPr>
        <w:t xml:space="preserve">Account Name: </w:t>
      </w:r>
      <w:r>
        <w:rPr>
          <w:rFonts w:ascii="Times New Roman;Times;serif" w:hAnsi="Times New Roman;Times;serif"/>
          <w:sz w:val="20"/>
        </w:rPr>
        <w:t xml:space="preserve">[*] </w:t>
      </w:r>
    </w:p>
    <w:p>
      <w:pPr>
        <w:pStyle w:val="TextBody"/>
        <w:bidi w:val="0"/>
        <w:spacing w:before="0" w:after="0"/>
        <w:ind w:left="360" w:right="0" w:hanging="0"/>
        <w:jc w:val="left"/>
        <w:rPr>
          <w:rFonts w:ascii="Times New Roman;Times;serif" w:hAnsi="Times New Roman;Times;serif"/>
          <w:sz w:val="18"/>
        </w:rPr>
      </w:pPr>
      <w:r>
        <w:rPr>
          <w:rFonts w:ascii="Times New Roman;Times;serif" w:hAnsi="Times New Roman;Times;serif"/>
          <w:sz w:val="19"/>
        </w:rPr>
        <w:t xml:space="preserve">Account No.: </w:t>
      </w:r>
      <w:r>
        <w:rPr>
          <w:rFonts w:ascii="Times New Roman;Times;serif" w:hAnsi="Times New Roman;Times;serif"/>
          <w:sz w:val="20"/>
        </w:rPr>
        <w:t xml:space="preserve">[*] </w:t>
      </w:r>
    </w:p>
    <w:p>
      <w:pPr>
        <w:pStyle w:val="TextBody"/>
        <w:bidi w:val="0"/>
        <w:spacing w:before="0" w:after="0"/>
        <w:ind w:left="360" w:right="0" w:hanging="0"/>
        <w:jc w:val="left"/>
        <w:rPr>
          <w:rFonts w:ascii="Times New Roman;Times;serif" w:hAnsi="Times New Roman;Times;serif"/>
          <w:sz w:val="18"/>
        </w:rPr>
      </w:pPr>
      <w:r>
        <w:rPr>
          <w:rFonts w:ascii="Times New Roman;Times;serif" w:hAnsi="Times New Roman;Times;serif"/>
          <w:sz w:val="19"/>
        </w:rPr>
        <w:t xml:space="preserve">Bank: </w:t>
      </w:r>
      <w:r>
        <w:rPr>
          <w:rFonts w:ascii="Times New Roman;Times;serif" w:hAnsi="Times New Roman;Times;serif"/>
          <w:sz w:val="20"/>
        </w:rPr>
        <w:t>[*]</w:t>
      </w:r>
    </w:p>
    <w:p>
      <w:pPr>
        <w:pStyle w:val="TextBody"/>
        <w:bidi w:val="0"/>
        <w:spacing w:before="0" w:after="0"/>
        <w:ind w:left="360" w:right="0" w:hanging="0"/>
        <w:jc w:val="left"/>
        <w:rPr>
          <w:rFonts w:ascii="Times New Roman;Times;serif" w:hAnsi="Times New Roman;Times;serif"/>
          <w:sz w:val="18"/>
        </w:rPr>
      </w:pPr>
      <w:r>
        <w:rPr>
          <w:rFonts w:ascii="Times New Roman;Times;serif" w:hAnsi="Times New Roman;Times;serif"/>
          <w:sz w:val="19"/>
        </w:rPr>
        <w:t xml:space="preserve">Bank Address: </w:t>
      </w:r>
      <w:r>
        <w:rPr>
          <w:rFonts w:ascii="Times New Roman;Times;serif" w:hAnsi="Times New Roman;Times;serif"/>
          <w:sz w:val="20"/>
        </w:rPr>
        <w:t>[*]</w:t>
      </w:r>
    </w:p>
    <w:p>
      <w:pPr>
        <w:pStyle w:val="TextBody"/>
        <w:bidi w:val="0"/>
        <w:spacing w:before="0" w:after="22"/>
        <w:ind w:left="360" w:right="0" w:hanging="0"/>
        <w:jc w:val="left"/>
        <w:rPr>
          <w:rFonts w:ascii="Times New Roman;Times;serif" w:hAnsi="Times New Roman;Times;serif"/>
          <w:sz w:val="18"/>
        </w:rPr>
      </w:pPr>
      <w:r>
        <w:rPr>
          <w:rFonts w:ascii="Times New Roman;Times;serif" w:hAnsi="Times New Roman;Times;serif"/>
          <w:sz w:val="19"/>
        </w:rPr>
        <w:t xml:space="preserve">Routing No.: </w:t>
      </w:r>
      <w:r>
        <w:rPr>
          <w:rFonts w:ascii="Times New Roman;Times;serif" w:hAnsi="Times New Roman;Times;serif"/>
          <w:sz w:val="20"/>
        </w:rPr>
        <w:t>[*]</w:t>
      </w:r>
    </w:p>
    <w:p>
      <w:pPr>
        <w:pStyle w:val="TextBody"/>
        <w:bidi w:val="0"/>
        <w:spacing w:before="0" w:after="1"/>
        <w:ind w:left="0" w:right="0" w:hanging="0"/>
        <w:jc w:val="left"/>
        <w:rPr/>
      </w:pPr>
      <w:r>
        <w:rPr/>
        <w:t>​</w:t>
      </w:r>
    </w:p>
    <w:tbl>
      <w:tblPr>
        <w:tblW w:w="3790" w:type="dxa"/>
        <w:jc w:val="left"/>
        <w:tblInd w:w="0" w:type="dxa"/>
        <w:tblLayout w:type="fixed"/>
        <w:tblCellMar>
          <w:top w:w="0" w:type="dxa"/>
          <w:left w:w="0" w:type="dxa"/>
          <w:bottom w:w="0" w:type="dxa"/>
          <w:right w:w="0" w:type="dxa"/>
        </w:tblCellMar>
      </w:tblPr>
      <w:tblGrid>
        <w:gridCol w:w="185"/>
        <w:gridCol w:w="3605"/>
      </w:tblGrid>
      <w:tr>
        <w:trPr/>
        <w:tc>
          <w:tcPr>
            <w:tcW w:w="185" w:type="dxa"/>
            <w:tcBorders/>
            <w:vAlign w:val="center"/>
          </w:tcPr>
          <w:p>
            <w:pPr>
              <w:pStyle w:val="TableContents"/>
              <w:bidi w:val="0"/>
              <w:spacing w:before="0" w:after="103"/>
              <w:jc w:val="left"/>
              <w:rPr>
                <w:rFonts w:ascii="Times New Roman;Times;serif" w:hAnsi="Times New Roman;Times;serif"/>
                <w:b/>
                <w:sz w:val="21"/>
              </w:rPr>
            </w:pPr>
            <w:r>
              <w:rPr>
                <w:rFonts w:ascii="Times New Roman;Times;serif" w:hAnsi="Times New Roman;Times;serif"/>
                <w:b/>
                <w:sz w:val="21"/>
              </w:rPr>
              <w:t>4.</w:t>
            </w:r>
          </w:p>
        </w:tc>
        <w:tc>
          <w:tcPr>
            <w:tcW w:w="3605" w:type="dxa"/>
            <w:tcBorders/>
            <w:vAlign w:val="center"/>
          </w:tcPr>
          <w:p>
            <w:pPr>
              <w:pStyle w:val="TableContents"/>
              <w:bidi w:val="0"/>
              <w:spacing w:before="0" w:after="103"/>
              <w:jc w:val="left"/>
              <w:rPr>
                <w:rFonts w:ascii="Times New Roman;Times;serif" w:hAnsi="Times New Roman;Times;serif"/>
                <w:b/>
                <w:sz w:val="21"/>
              </w:rPr>
            </w:pPr>
            <w:r>
              <w:rPr>
                <w:rFonts w:ascii="Times New Roman;Times;serif" w:hAnsi="Times New Roman;Times;serif"/>
                <w:b/>
                <w:sz w:val="21"/>
              </w:rPr>
              <w:t>DELIVERY TERM; BILL-AND-HOLD</w:t>
            </w:r>
          </w:p>
        </w:tc>
      </w:tr>
    </w:tbl>
    <w:p>
      <w:pPr>
        <w:pStyle w:val="TextBody"/>
        <w:bidi w:val="0"/>
        <w:spacing w:before="0" w:after="47"/>
        <w:ind w:left="0" w:right="0" w:hanging="0"/>
        <w:jc w:val="left"/>
        <w:rPr>
          <w:rFonts w:ascii="Times New Roman;Times;serif" w:hAnsi="Times New Roman;Times;serif"/>
          <w:sz w:val="19"/>
        </w:rPr>
      </w:pPr>
      <w:r>
        <w:rPr>
          <w:rFonts w:ascii="Times New Roman;Times;serif" w:hAnsi="Times New Roman;Times;serif"/>
          <w:sz w:val="19"/>
        </w:rPr>
        <w:t>The Parties agree that this transaction is on a bill-and-hold basis. The Goods are in stock and shall be separately identified and held by Seller for Buyer following full payment. Buyer shall arrange for collection or shipment of the Goods within thirty (30) calendar days following Seller’s receipt of the full Contract Price. Pending such collection or shipment, Seller shall hold the Goods for the sole benefit of Buyer and shall not substitute, use, sell, pledge, transfer or otherwise dispose of the Goods after title has passed to Buyer.</w:t>
      </w:r>
    </w:p>
    <w:p>
      <w:pPr>
        <w:pStyle w:val="TextBody"/>
        <w:bidi w:val="0"/>
        <w:spacing w:before="0" w:after="47"/>
        <w:ind w:left="0" w:right="0" w:hanging="0"/>
        <w:jc w:val="left"/>
        <w:rPr/>
      </w:pPr>
      <w:r>
        <w:rPr/>
        <w:t>​</w:t>
      </w:r>
    </w:p>
    <w:tbl>
      <w:tblPr>
        <w:tblW w:w="2860" w:type="dxa"/>
        <w:jc w:val="left"/>
        <w:tblInd w:w="0" w:type="dxa"/>
        <w:tblLayout w:type="fixed"/>
        <w:tblCellMar>
          <w:top w:w="0" w:type="dxa"/>
          <w:left w:w="0" w:type="dxa"/>
          <w:bottom w:w="0" w:type="dxa"/>
          <w:right w:w="0" w:type="dxa"/>
        </w:tblCellMar>
      </w:tblPr>
      <w:tblGrid>
        <w:gridCol w:w="185"/>
        <w:gridCol w:w="2675"/>
      </w:tblGrid>
      <w:tr>
        <w:trPr/>
        <w:tc>
          <w:tcPr>
            <w:tcW w:w="185" w:type="dxa"/>
            <w:tcBorders/>
            <w:vAlign w:val="center"/>
          </w:tcPr>
          <w:p>
            <w:pPr>
              <w:pStyle w:val="TableContents"/>
              <w:bidi w:val="0"/>
              <w:spacing w:before="0" w:after="103"/>
              <w:jc w:val="left"/>
              <w:rPr>
                <w:rFonts w:ascii="Times New Roman;Times;serif" w:hAnsi="Times New Roman;Times;serif"/>
                <w:b/>
                <w:sz w:val="21"/>
              </w:rPr>
            </w:pPr>
            <w:r>
              <w:rPr>
                <w:rFonts w:ascii="Times New Roman;Times;serif" w:hAnsi="Times New Roman;Times;serif"/>
                <w:b/>
                <w:sz w:val="21"/>
              </w:rPr>
              <w:t>5.</w:t>
            </w:r>
          </w:p>
        </w:tc>
        <w:tc>
          <w:tcPr>
            <w:tcW w:w="2675" w:type="dxa"/>
            <w:tcBorders/>
            <w:vAlign w:val="center"/>
          </w:tcPr>
          <w:p>
            <w:pPr>
              <w:pStyle w:val="TableContents"/>
              <w:bidi w:val="0"/>
              <w:spacing w:before="0" w:after="103"/>
              <w:jc w:val="left"/>
              <w:rPr>
                <w:rFonts w:ascii="Times New Roman;Times;serif" w:hAnsi="Times New Roman;Times;serif"/>
                <w:b/>
                <w:sz w:val="21"/>
              </w:rPr>
            </w:pPr>
            <w:r>
              <w:rPr>
                <w:rFonts w:ascii="Times New Roman;Times;serif" w:hAnsi="Times New Roman;Times;serif"/>
                <w:b/>
                <w:sz w:val="21"/>
              </w:rPr>
              <w:t>TITLE AND RISK OF LOSS</w:t>
            </w:r>
          </w:p>
        </w:tc>
      </w:tr>
    </w:tbl>
    <w:p>
      <w:pPr>
        <w:pStyle w:val="TextBody"/>
        <w:bidi w:val="0"/>
        <w:spacing w:before="0" w:after="39"/>
        <w:ind w:left="0" w:right="0" w:hanging="0"/>
        <w:jc w:val="left"/>
        <w:rPr>
          <w:rFonts w:ascii="Times New Roman;Times;serif" w:hAnsi="Times New Roman;Times;serif"/>
          <w:sz w:val="19"/>
        </w:rPr>
      </w:pPr>
      <w:r>
        <w:rPr>
          <w:rFonts w:ascii="Times New Roman;Times;serif" w:hAnsi="Times New Roman;Times;serif"/>
          <w:sz w:val="19"/>
        </w:rPr>
        <w:t>Title to the Goods and all risk of loss of or damage to the Goods shall pass to Buyer upon Seller’s receipt of the full Contract Price. From that time, the Goods shall be deemed fully sold and transferred to Buyer, notwithstanding that they may remain in Seller’s physical custody pending Buyer’s collection or shipping instructions. Seller shall thereafter hold and safeguard the Goods solely as custodian for and on behalf of Buyer until the Goods are physically released to Buyer or Buyer’s designated carrier.</w:t>
      </w:r>
    </w:p>
    <w:p>
      <w:pPr>
        <w:pStyle w:val="TextBody"/>
        <w:bidi w:val="0"/>
        <w:spacing w:before="0" w:after="39"/>
        <w:ind w:left="0" w:right="0" w:hanging="0"/>
        <w:jc w:val="left"/>
        <w:rPr/>
      </w:pPr>
      <w:r>
        <w:rPr/>
        <w:t>​</w:t>
      </w:r>
    </w:p>
    <w:tbl>
      <w:tblPr>
        <w:tblW w:w="6400" w:type="dxa"/>
        <w:jc w:val="left"/>
        <w:tblInd w:w="0" w:type="dxa"/>
        <w:tblLayout w:type="fixed"/>
        <w:tblCellMar>
          <w:top w:w="0" w:type="dxa"/>
          <w:left w:w="0" w:type="dxa"/>
          <w:bottom w:w="0" w:type="dxa"/>
          <w:right w:w="0" w:type="dxa"/>
        </w:tblCellMar>
      </w:tblPr>
      <w:tblGrid>
        <w:gridCol w:w="185"/>
        <w:gridCol w:w="6215"/>
      </w:tblGrid>
      <w:tr>
        <w:trPr/>
        <w:tc>
          <w:tcPr>
            <w:tcW w:w="185" w:type="dxa"/>
            <w:tcBorders/>
            <w:vAlign w:val="center"/>
          </w:tcPr>
          <w:p>
            <w:pPr>
              <w:pStyle w:val="TableContents"/>
              <w:bidi w:val="0"/>
              <w:spacing w:before="0" w:after="103"/>
              <w:jc w:val="left"/>
              <w:rPr>
                <w:rFonts w:ascii="Times New Roman;Times;serif" w:hAnsi="Times New Roman;Times;serif"/>
                <w:b/>
                <w:sz w:val="21"/>
              </w:rPr>
            </w:pPr>
            <w:r>
              <w:rPr>
                <w:rFonts w:ascii="Times New Roman;Times;serif" w:hAnsi="Times New Roman;Times;serif"/>
                <w:b/>
                <w:sz w:val="21"/>
              </w:rPr>
              <w:t>6.</w:t>
            </w:r>
          </w:p>
        </w:tc>
        <w:tc>
          <w:tcPr>
            <w:tcW w:w="6215" w:type="dxa"/>
            <w:tcBorders/>
            <w:vAlign w:val="center"/>
          </w:tcPr>
          <w:p>
            <w:pPr>
              <w:pStyle w:val="TableContents"/>
              <w:bidi w:val="0"/>
              <w:spacing w:before="0" w:after="103"/>
              <w:jc w:val="left"/>
              <w:rPr>
                <w:rFonts w:ascii="Times New Roman;Times;serif" w:hAnsi="Times New Roman;Times;serif"/>
                <w:b/>
                <w:sz w:val="21"/>
              </w:rPr>
            </w:pPr>
            <w:r>
              <w:rPr>
                <w:rFonts w:ascii="Times New Roman;Times;serif" w:hAnsi="Times New Roman;Times;serif"/>
                <w:b/>
                <w:sz w:val="21"/>
              </w:rPr>
              <w:t>IDENTIFICATION, SEGREGATION AND CUSTODY OF GOODS</w:t>
            </w:r>
          </w:p>
        </w:tc>
      </w:tr>
    </w:tbl>
    <w:p>
      <w:pPr>
        <w:pStyle w:val="TextBody"/>
        <w:pBdr/>
        <w:bidi w:val="0"/>
        <w:spacing w:before="0" w:after="43"/>
        <w:ind w:left="360" w:right="0" w:hanging="233"/>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left"/>
        <w:rPr>
          <w:rFonts w:ascii="Times New Roman;Times;serif" w:hAnsi="Times New Roman;Times;serif"/>
          <w:sz w:val="19"/>
        </w:rPr>
      </w:pPr>
      <w:r>
        <w:rPr>
          <w:rFonts w:ascii="Times New Roman;Times;serif" w:hAnsi="Times New Roman;Times;serif"/>
          <w:sz w:val="19"/>
        </w:rPr>
        <w:t>Upon receipt of full payment, Seller shall clearly identify the Goods as belonging to Buyer and shall maintain the Goods in a condition suitable for shipment. Seller shall keep the Goods free and clear of any lien, security interest, pledge, claim or other encumbrance and shall, upon reasonable request, provide Buyer with confirmation that the Goods remain available and held for Buyer.</w:t>
      </w:r>
    </w:p>
    <w:tbl>
      <w:tblPr>
        <w:tblW w:w="3505" w:type="dxa"/>
        <w:jc w:val="left"/>
        <w:tblInd w:w="0" w:type="dxa"/>
        <w:tblLayout w:type="fixed"/>
        <w:tblCellMar>
          <w:top w:w="0" w:type="dxa"/>
          <w:left w:w="0" w:type="dxa"/>
          <w:bottom w:w="0" w:type="dxa"/>
          <w:right w:w="0" w:type="dxa"/>
        </w:tblCellMar>
      </w:tblPr>
      <w:tblGrid>
        <w:gridCol w:w="185"/>
        <w:gridCol w:w="3320"/>
      </w:tblGrid>
      <w:tr>
        <w:trPr/>
        <w:tc>
          <w:tcPr>
            <w:tcW w:w="185" w:type="dxa"/>
            <w:tcBorders/>
            <w:vAlign w:val="center"/>
          </w:tcPr>
          <w:p>
            <w:pPr>
              <w:pStyle w:val="TableContents"/>
              <w:bidi w:val="0"/>
              <w:spacing w:before="0" w:after="120"/>
              <w:jc w:val="left"/>
              <w:rPr>
                <w:rFonts w:ascii="Times New Roman;Times;serif" w:hAnsi="Times New Roman;Times;serif"/>
                <w:b/>
                <w:sz w:val="21"/>
              </w:rPr>
            </w:pPr>
            <w:r>
              <w:rPr>
                <w:rFonts w:ascii="Times New Roman;Times;serif" w:hAnsi="Times New Roman;Times;serif"/>
                <w:b/>
                <w:sz w:val="21"/>
              </w:rPr>
              <w:t>7.</w:t>
            </w:r>
          </w:p>
        </w:tc>
        <w:tc>
          <w:tcPr>
            <w:tcW w:w="3320" w:type="dxa"/>
            <w:tcBorders/>
            <w:vAlign w:val="center"/>
          </w:tcPr>
          <w:p>
            <w:pPr>
              <w:pStyle w:val="TableContents"/>
              <w:bidi w:val="0"/>
              <w:spacing w:before="0" w:after="120"/>
              <w:jc w:val="left"/>
              <w:rPr>
                <w:rFonts w:ascii="Times New Roman;Times;serif" w:hAnsi="Times New Roman;Times;serif"/>
                <w:b/>
                <w:sz w:val="21"/>
              </w:rPr>
            </w:pPr>
            <w:r>
              <w:rPr>
                <w:rFonts w:ascii="Times New Roman;Times;serif" w:hAnsi="Times New Roman;Times;serif"/>
                <w:b/>
                <w:sz w:val="21"/>
              </w:rPr>
              <w:t>INSPECTION AND ACCEPTANCE</w:t>
            </w:r>
          </w:p>
        </w:tc>
      </w:tr>
    </w:tbl>
    <w:p>
      <w:pPr>
        <w:pStyle w:val="TextBody"/>
        <w:bidi w:val="0"/>
        <w:spacing w:before="0" w:after="120"/>
        <w:ind w:left="0" w:right="0" w:hanging="0"/>
        <w:jc w:val="left"/>
        <w:rPr>
          <w:rFonts w:ascii="Times New Roman;Times;serif" w:hAnsi="Times New Roman;Times;serif"/>
          <w:sz w:val="19"/>
        </w:rPr>
      </w:pPr>
      <w:r>
        <w:rPr>
          <w:rFonts w:ascii="Times New Roman;Times;serif" w:hAnsi="Times New Roman;Times;serif"/>
          <w:sz w:val="19"/>
        </w:rPr>
        <w:t>Buyer may, at its own cost, inspect the Goods directly or through a third party before physical release. Any inspection or failure to inspect shall not reduce or discharge Seller’s obligations concerning product quality, conformity, quantity or warranty under this Contract. Acceptance of physical delivery shall not waive claims for latent defects or non-conformities that could not reasonably have been discovered upon inspection.</w:t>
      </w:r>
    </w:p>
    <w:tbl>
      <w:tblPr>
        <w:tblW w:w="4075" w:type="dxa"/>
        <w:jc w:val="left"/>
        <w:tblInd w:w="0" w:type="dxa"/>
        <w:tblLayout w:type="fixed"/>
        <w:tblCellMar>
          <w:top w:w="0" w:type="dxa"/>
          <w:left w:w="0" w:type="dxa"/>
          <w:bottom w:w="0" w:type="dxa"/>
          <w:right w:w="0" w:type="dxa"/>
        </w:tblCellMar>
      </w:tblPr>
      <w:tblGrid>
        <w:gridCol w:w="185"/>
        <w:gridCol w:w="3890"/>
      </w:tblGrid>
      <w:tr>
        <w:trPr/>
        <w:tc>
          <w:tcPr>
            <w:tcW w:w="185" w:type="dxa"/>
            <w:tcBorders/>
            <w:vAlign w:val="center"/>
          </w:tcPr>
          <w:p>
            <w:pPr>
              <w:pStyle w:val="TableContents"/>
              <w:bidi w:val="0"/>
              <w:spacing w:before="0" w:after="120"/>
              <w:jc w:val="left"/>
              <w:rPr>
                <w:rFonts w:ascii="Times New Roman;Times;serif" w:hAnsi="Times New Roman;Times;serif"/>
                <w:b/>
                <w:sz w:val="21"/>
              </w:rPr>
            </w:pPr>
            <w:r>
              <w:rPr>
                <w:rFonts w:ascii="Times New Roman;Times;serif" w:hAnsi="Times New Roman;Times;serif"/>
                <w:b/>
                <w:sz w:val="21"/>
              </w:rPr>
              <w:t>8.</w:t>
            </w:r>
          </w:p>
        </w:tc>
        <w:tc>
          <w:tcPr>
            <w:tcW w:w="3890" w:type="dxa"/>
            <w:tcBorders/>
            <w:vAlign w:val="center"/>
          </w:tcPr>
          <w:p>
            <w:pPr>
              <w:pStyle w:val="TableContents"/>
              <w:bidi w:val="0"/>
              <w:spacing w:before="0" w:after="120"/>
              <w:jc w:val="left"/>
              <w:rPr>
                <w:rFonts w:ascii="Times New Roman;Times;serif" w:hAnsi="Times New Roman;Times;serif"/>
                <w:b/>
                <w:sz w:val="21"/>
              </w:rPr>
            </w:pPr>
            <w:r>
              <w:rPr>
                <w:rFonts w:ascii="Times New Roman;Times;serif" w:hAnsi="Times New Roman;Times;serif"/>
                <w:b/>
                <w:sz w:val="21"/>
              </w:rPr>
              <w:t>PRODUCT QUALITY AND WARRANTY</w:t>
            </w:r>
          </w:p>
        </w:tc>
      </w:tr>
    </w:tbl>
    <w:p>
      <w:pPr>
        <w:pStyle w:val="TextBody"/>
        <w:bidi w:val="0"/>
        <w:spacing w:before="0" w:after="120"/>
        <w:ind w:left="0" w:right="0" w:hanging="0"/>
        <w:jc w:val="left"/>
        <w:rPr>
          <w:rFonts w:ascii="Times New Roman;Times;serif" w:hAnsi="Times New Roman;Times;serif"/>
          <w:sz w:val="19"/>
        </w:rPr>
      </w:pPr>
      <w:r>
        <w:rPr>
          <w:rFonts w:ascii="Times New Roman;Times;serif" w:hAnsi="Times New Roman;Times;serif"/>
          <w:sz w:val="19"/>
        </w:rPr>
        <w:t>Seller expressly warrants that all Goods shall conform in all respects to the requirements and specifications set forth in this Contract and any other written specifications mutually agreed upon by the Parties, including applicable requirements concerning materials, workmanship, design, manufacturing and packaging. The Goods shall be free from defects in quality, workmanship and design. Seller shall remain responsible for product quality through production, delivery, acceptance and any applicable warranty period, and such obligations shall not be reduced or discharged by Buyer’s inspection or acceptance of the Goods.</w:t>
      </w:r>
    </w:p>
    <w:tbl>
      <w:tblPr>
        <w:tblW w:w="2665" w:type="dxa"/>
        <w:jc w:val="left"/>
        <w:tblInd w:w="0" w:type="dxa"/>
        <w:tblLayout w:type="fixed"/>
        <w:tblCellMar>
          <w:top w:w="0" w:type="dxa"/>
          <w:left w:w="0" w:type="dxa"/>
          <w:bottom w:w="0" w:type="dxa"/>
          <w:right w:w="0" w:type="dxa"/>
        </w:tblCellMar>
      </w:tblPr>
      <w:tblGrid>
        <w:gridCol w:w="185"/>
        <w:gridCol w:w="2480"/>
      </w:tblGrid>
      <w:tr>
        <w:trPr/>
        <w:tc>
          <w:tcPr>
            <w:tcW w:w="185" w:type="dxa"/>
            <w:tcBorders/>
            <w:vAlign w:val="center"/>
          </w:tcPr>
          <w:p>
            <w:pPr>
              <w:pStyle w:val="TableContents"/>
              <w:bidi w:val="0"/>
              <w:spacing w:before="0" w:after="120"/>
              <w:jc w:val="left"/>
              <w:rPr>
                <w:rFonts w:ascii="Times New Roman;Times;serif" w:hAnsi="Times New Roman;Times;serif"/>
                <w:b/>
                <w:sz w:val="21"/>
              </w:rPr>
            </w:pPr>
            <w:r>
              <w:rPr>
                <w:rFonts w:ascii="Times New Roman;Times;serif" w:hAnsi="Times New Roman;Times;serif"/>
                <w:b/>
                <w:sz w:val="21"/>
              </w:rPr>
              <w:t>9.</w:t>
            </w:r>
          </w:p>
        </w:tc>
        <w:tc>
          <w:tcPr>
            <w:tcW w:w="2480" w:type="dxa"/>
            <w:tcBorders/>
            <w:vAlign w:val="center"/>
          </w:tcPr>
          <w:p>
            <w:pPr>
              <w:pStyle w:val="TableContents"/>
              <w:bidi w:val="0"/>
              <w:spacing w:before="0" w:after="120"/>
              <w:jc w:val="left"/>
              <w:rPr>
                <w:rFonts w:ascii="Times New Roman;Times;serif" w:hAnsi="Times New Roman;Times;serif"/>
                <w:b/>
                <w:sz w:val="21"/>
              </w:rPr>
            </w:pPr>
            <w:r>
              <w:rPr>
                <w:rFonts w:ascii="Times New Roman;Times;serif" w:hAnsi="Times New Roman;Times;serif"/>
                <w:b/>
                <w:sz w:val="21"/>
              </w:rPr>
              <w:t>CLAIMS AND LIABILITY</w:t>
            </w:r>
          </w:p>
        </w:tc>
      </w:tr>
    </w:tbl>
    <w:p>
      <w:pPr>
        <w:pStyle w:val="TextBody"/>
        <w:bidi w:val="0"/>
        <w:spacing w:before="0" w:after="120"/>
        <w:ind w:left="0" w:right="0" w:hanging="0"/>
        <w:jc w:val="left"/>
        <w:rPr>
          <w:rFonts w:ascii="Times New Roman;Times;serif" w:hAnsi="Times New Roman;Times;serif"/>
          <w:sz w:val="19"/>
        </w:rPr>
      </w:pPr>
      <w:r>
        <w:rPr>
          <w:rFonts w:ascii="Times New Roman;Times;serif" w:hAnsi="Times New Roman;Times;serif"/>
          <w:sz w:val="19"/>
        </w:rPr>
        <w:t>Seller shall be responsible for claims, losses, costs, expenses and liabilities arising from: (a) defects or non-conformity of the Goods; (b) Seller’s failure to make the Goods available or otherwise perform its delivery obligations in accordance with this Contract; (c) infringement of third-party intellectual property rights by the Goods; or (d) Seller’s other breach of this Contract. Recoverable amounts may include reasonable costs of returns, replacements, refunds, discounts, expedited transportation, recalls and reasonable legal or claim-handling expenses to the extent caused by Seller’s breach or defective Goods.</w:t>
      </w:r>
    </w:p>
    <w:tbl>
      <w:tblPr>
        <w:tblW w:w="2515" w:type="dxa"/>
        <w:jc w:val="left"/>
        <w:tblInd w:w="0" w:type="dxa"/>
        <w:tblLayout w:type="fixed"/>
        <w:tblCellMar>
          <w:top w:w="0" w:type="dxa"/>
          <w:left w:w="0" w:type="dxa"/>
          <w:bottom w:w="0" w:type="dxa"/>
          <w:right w:w="0" w:type="dxa"/>
        </w:tblCellMar>
      </w:tblPr>
      <w:tblGrid>
        <w:gridCol w:w="290"/>
        <w:gridCol w:w="2225"/>
      </w:tblGrid>
      <w:tr>
        <w:trPr/>
        <w:tc>
          <w:tcPr>
            <w:tcW w:w="290" w:type="dxa"/>
            <w:tcBorders/>
            <w:vAlign w:val="center"/>
          </w:tcPr>
          <w:p>
            <w:pPr>
              <w:pStyle w:val="TableContents"/>
              <w:bidi w:val="0"/>
              <w:spacing w:before="0" w:after="120"/>
              <w:jc w:val="left"/>
              <w:rPr>
                <w:rFonts w:ascii="Times New Roman;Times;serif" w:hAnsi="Times New Roman;Times;serif"/>
                <w:b/>
                <w:sz w:val="21"/>
              </w:rPr>
            </w:pPr>
            <w:r>
              <w:rPr>
                <w:rFonts w:ascii="Times New Roman;Times;serif" w:hAnsi="Times New Roman;Times;serif"/>
                <w:b/>
                <w:sz w:val="21"/>
              </w:rPr>
              <w:t>10.</w:t>
            </w:r>
          </w:p>
        </w:tc>
        <w:tc>
          <w:tcPr>
            <w:tcW w:w="2225" w:type="dxa"/>
            <w:tcBorders/>
            <w:vAlign w:val="center"/>
          </w:tcPr>
          <w:p>
            <w:pPr>
              <w:pStyle w:val="TableContents"/>
              <w:bidi w:val="0"/>
              <w:spacing w:before="0" w:after="120"/>
              <w:jc w:val="left"/>
              <w:rPr>
                <w:rFonts w:ascii="Times New Roman;Times;serif" w:hAnsi="Times New Roman;Times;serif"/>
                <w:b/>
                <w:sz w:val="21"/>
              </w:rPr>
            </w:pPr>
            <w:r>
              <w:rPr>
                <w:rFonts w:ascii="Times New Roman;Times;serif" w:hAnsi="Times New Roman;Times;serif"/>
                <w:b/>
                <w:sz w:val="21"/>
              </w:rPr>
              <w:t>CLAIMS PROCEDURE</w:t>
            </w:r>
          </w:p>
        </w:tc>
      </w:tr>
    </w:tbl>
    <w:p>
      <w:pPr>
        <w:pStyle w:val="TextBody"/>
        <w:bidi w:val="0"/>
        <w:spacing w:before="0" w:after="120"/>
        <w:ind w:left="0" w:right="0" w:hanging="0"/>
        <w:jc w:val="left"/>
        <w:rPr>
          <w:rFonts w:ascii="Times New Roman;Times;serif" w:hAnsi="Times New Roman;Times;serif"/>
          <w:sz w:val="19"/>
        </w:rPr>
      </w:pPr>
      <w:r>
        <w:rPr>
          <w:rFonts w:ascii="Times New Roman;Times;serif" w:hAnsi="Times New Roman;Times;serif"/>
          <w:sz w:val="19"/>
        </w:rPr>
        <w:t>If Buyer receives a claim from its customer or an overseas importer concerning product quality, conformity or delivery, Buyer shall notify Seller and provide reasonable supporting documentation. Buyer may take commercially reasonable remedial measures to mitigate losses or protect its customer relationship. Seller shall reasonably cooperate in investigating and resolving the claim and shall reimburse Buyer for substantiated amounts for which Seller is responsible under this Contract within fifteen (15) business days after receipt of supporting documentation.</w:t>
      </w:r>
    </w:p>
    <w:tbl>
      <w:tblPr>
        <w:tblW w:w="2125" w:type="dxa"/>
        <w:jc w:val="left"/>
        <w:tblInd w:w="0" w:type="dxa"/>
        <w:tblLayout w:type="fixed"/>
        <w:tblCellMar>
          <w:top w:w="0" w:type="dxa"/>
          <w:left w:w="0" w:type="dxa"/>
          <w:bottom w:w="0" w:type="dxa"/>
          <w:right w:w="0" w:type="dxa"/>
        </w:tblCellMar>
      </w:tblPr>
      <w:tblGrid>
        <w:gridCol w:w="290"/>
        <w:gridCol w:w="1835"/>
      </w:tblGrid>
      <w:tr>
        <w:trPr/>
        <w:tc>
          <w:tcPr>
            <w:tcW w:w="290" w:type="dxa"/>
            <w:tcBorders/>
            <w:vAlign w:val="center"/>
          </w:tcPr>
          <w:p>
            <w:pPr>
              <w:pStyle w:val="TableContents"/>
              <w:bidi w:val="0"/>
              <w:spacing w:before="0" w:after="120"/>
              <w:jc w:val="left"/>
              <w:rPr>
                <w:rFonts w:ascii="Times New Roman;Times;serif" w:hAnsi="Times New Roman;Times;serif"/>
                <w:b/>
                <w:sz w:val="21"/>
              </w:rPr>
            </w:pPr>
            <w:r>
              <w:rPr>
                <w:rFonts w:ascii="Times New Roman;Times;serif" w:hAnsi="Times New Roman;Times;serif"/>
                <w:b/>
                <w:sz w:val="21"/>
              </w:rPr>
              <w:t>11.</w:t>
            </w:r>
          </w:p>
        </w:tc>
        <w:tc>
          <w:tcPr>
            <w:tcW w:w="1835" w:type="dxa"/>
            <w:tcBorders/>
            <w:vAlign w:val="center"/>
          </w:tcPr>
          <w:p>
            <w:pPr>
              <w:pStyle w:val="TableContents"/>
              <w:bidi w:val="0"/>
              <w:spacing w:before="0" w:after="120"/>
              <w:jc w:val="left"/>
              <w:rPr>
                <w:rFonts w:ascii="Times New Roman;Times;serif" w:hAnsi="Times New Roman;Times;serif"/>
                <w:b/>
                <w:sz w:val="21"/>
              </w:rPr>
            </w:pPr>
            <w:r>
              <w:rPr>
                <w:rFonts w:ascii="Times New Roman;Times;serif" w:hAnsi="Times New Roman;Times;serif"/>
                <w:b/>
                <w:sz w:val="21"/>
              </w:rPr>
              <w:t>FORCE MAJEURE</w:t>
            </w:r>
          </w:p>
        </w:tc>
      </w:tr>
    </w:tbl>
    <w:p>
      <w:pPr>
        <w:pStyle w:val="TextBody"/>
        <w:bidi w:val="0"/>
        <w:spacing w:before="0" w:after="120"/>
        <w:ind w:left="0" w:right="0" w:hanging="0"/>
        <w:jc w:val="left"/>
        <w:rPr>
          <w:rFonts w:ascii="Times New Roman;Times;serif" w:hAnsi="Times New Roman;Times;serif"/>
          <w:sz w:val="19"/>
        </w:rPr>
      </w:pPr>
      <w:r>
        <w:rPr>
          <w:rFonts w:ascii="Times New Roman;Times;serif" w:hAnsi="Times New Roman;Times;serif"/>
          <w:sz w:val="19"/>
        </w:rPr>
        <w:t>Neither Party shall be liable for a failure or delay in performance to the extent caused by events beyond its reasonable control, including natural disasters, fire, flood, war, governmental action, embargo, strikes or major transportation disruptions. A Party claiming Force Majeure shall notify the other Party promptly and provide reasonable supporting information. Force Majeure shall not excuse obligations that arose before the event.</w:t>
      </w:r>
    </w:p>
    <w:tbl>
      <w:tblPr>
        <w:tblW w:w="2170" w:type="dxa"/>
        <w:jc w:val="left"/>
        <w:tblInd w:w="0" w:type="dxa"/>
        <w:tblLayout w:type="fixed"/>
        <w:tblCellMar>
          <w:top w:w="0" w:type="dxa"/>
          <w:left w:w="0" w:type="dxa"/>
          <w:bottom w:w="0" w:type="dxa"/>
          <w:right w:w="0" w:type="dxa"/>
        </w:tblCellMar>
      </w:tblPr>
      <w:tblGrid>
        <w:gridCol w:w="290"/>
        <w:gridCol w:w="1880"/>
      </w:tblGrid>
      <w:tr>
        <w:trPr/>
        <w:tc>
          <w:tcPr>
            <w:tcW w:w="290" w:type="dxa"/>
            <w:tcBorders/>
            <w:vAlign w:val="center"/>
          </w:tcPr>
          <w:p>
            <w:pPr>
              <w:pStyle w:val="TableContents"/>
              <w:bidi w:val="0"/>
              <w:spacing w:before="0" w:after="120"/>
              <w:jc w:val="left"/>
              <w:rPr>
                <w:rFonts w:ascii="Times New Roman;Times;serif" w:hAnsi="Times New Roman;Times;serif"/>
                <w:b/>
                <w:sz w:val="21"/>
              </w:rPr>
            </w:pPr>
            <w:r>
              <w:rPr>
                <w:rFonts w:ascii="Times New Roman;Times;serif" w:hAnsi="Times New Roman;Times;serif"/>
                <w:b/>
                <w:sz w:val="21"/>
              </w:rPr>
              <w:t>12.</w:t>
            </w:r>
          </w:p>
        </w:tc>
        <w:tc>
          <w:tcPr>
            <w:tcW w:w="1880" w:type="dxa"/>
            <w:tcBorders/>
            <w:vAlign w:val="center"/>
          </w:tcPr>
          <w:p>
            <w:pPr>
              <w:pStyle w:val="TableContents"/>
              <w:bidi w:val="0"/>
              <w:spacing w:before="0" w:after="120"/>
              <w:jc w:val="left"/>
              <w:rPr>
                <w:rFonts w:ascii="Times New Roman;Times;serif" w:hAnsi="Times New Roman;Times;serif"/>
                <w:b/>
                <w:sz w:val="21"/>
              </w:rPr>
            </w:pPr>
            <w:r>
              <w:rPr>
                <w:rFonts w:ascii="Times New Roman;Times;serif" w:hAnsi="Times New Roman;Times;serif"/>
                <w:b/>
                <w:sz w:val="21"/>
              </w:rPr>
              <w:t>GOVERNING LAW</w:t>
            </w:r>
          </w:p>
        </w:tc>
      </w:tr>
    </w:tbl>
    <w:p>
      <w:pPr>
        <w:pStyle w:val="TextBody"/>
        <w:bidi w:val="0"/>
        <w:spacing w:before="0" w:after="120"/>
        <w:ind w:left="0" w:right="0" w:hanging="0"/>
        <w:jc w:val="left"/>
        <w:rPr>
          <w:rFonts w:ascii="Times New Roman;Times;serif" w:hAnsi="Times New Roman;Times;serif"/>
          <w:sz w:val="19"/>
        </w:rPr>
      </w:pPr>
      <w:r>
        <w:rPr>
          <w:rFonts w:ascii="Times New Roman;Times;serif" w:hAnsi="Times New Roman;Times;serif"/>
          <w:sz w:val="19"/>
        </w:rPr>
        <w:t>This Contract and any non-contractual obligations arising out of or in connection with it shall be governed by and construed in accordance with the laws of the State of California, without regard to its conflict-of-laws principles.</w:t>
      </w:r>
    </w:p>
    <w:tbl>
      <w:tblPr>
        <w:tblW w:w="2650" w:type="dxa"/>
        <w:jc w:val="left"/>
        <w:tblInd w:w="0" w:type="dxa"/>
        <w:tblLayout w:type="fixed"/>
        <w:tblCellMar>
          <w:top w:w="0" w:type="dxa"/>
          <w:left w:w="0" w:type="dxa"/>
          <w:bottom w:w="0" w:type="dxa"/>
          <w:right w:w="0" w:type="dxa"/>
        </w:tblCellMar>
      </w:tblPr>
      <w:tblGrid>
        <w:gridCol w:w="290"/>
        <w:gridCol w:w="2360"/>
      </w:tblGrid>
      <w:tr>
        <w:trPr/>
        <w:tc>
          <w:tcPr>
            <w:tcW w:w="290" w:type="dxa"/>
            <w:tcBorders/>
            <w:vAlign w:val="center"/>
          </w:tcPr>
          <w:p>
            <w:pPr>
              <w:pStyle w:val="TableContents"/>
              <w:bidi w:val="0"/>
              <w:spacing w:before="0" w:after="120"/>
              <w:jc w:val="left"/>
              <w:rPr>
                <w:rFonts w:ascii="Times New Roman;Times;serif" w:hAnsi="Times New Roman;Times;serif"/>
                <w:b/>
                <w:sz w:val="21"/>
              </w:rPr>
            </w:pPr>
            <w:r>
              <w:rPr>
                <w:rFonts w:ascii="Times New Roman;Times;serif" w:hAnsi="Times New Roman;Times;serif"/>
                <w:b/>
                <w:sz w:val="21"/>
              </w:rPr>
              <w:t>13.</w:t>
            </w:r>
          </w:p>
        </w:tc>
        <w:tc>
          <w:tcPr>
            <w:tcW w:w="2360" w:type="dxa"/>
            <w:tcBorders/>
            <w:vAlign w:val="center"/>
          </w:tcPr>
          <w:p>
            <w:pPr>
              <w:pStyle w:val="TableContents"/>
              <w:bidi w:val="0"/>
              <w:spacing w:before="0" w:after="120"/>
              <w:jc w:val="left"/>
              <w:rPr>
                <w:rFonts w:ascii="Times New Roman;Times;serif" w:hAnsi="Times New Roman;Times;serif"/>
                <w:b/>
                <w:sz w:val="21"/>
              </w:rPr>
            </w:pPr>
            <w:r>
              <w:rPr>
                <w:rFonts w:ascii="Times New Roman;Times;serif" w:hAnsi="Times New Roman;Times;serif"/>
                <w:b/>
                <w:sz w:val="21"/>
              </w:rPr>
              <w:t>DISPUTE RESOLUTION</w:t>
            </w:r>
          </w:p>
        </w:tc>
      </w:tr>
    </w:tbl>
    <w:p>
      <w:pPr>
        <w:pStyle w:val="TextBody"/>
        <w:bidi w:val="0"/>
        <w:spacing w:before="0" w:after="120"/>
        <w:ind w:left="0" w:right="0" w:hanging="0"/>
        <w:jc w:val="left"/>
        <w:rPr>
          <w:rFonts w:ascii="Times New Roman;Times;serif" w:hAnsi="Times New Roman;Times;serif"/>
          <w:sz w:val="19"/>
        </w:rPr>
      </w:pPr>
      <w:r>
        <w:rPr>
          <w:rFonts w:ascii="Times New Roman;Times;serif" w:hAnsi="Times New Roman;Times;serif"/>
          <w:sz w:val="19"/>
        </w:rPr>
        <w:t>Any dispute, controversy or claim arising out of or relating to this Contract shall first be addressed through good-faith negotiations. If the dispute cannot be resolved, each Party irrevocably submits to the exclusive jurisdiction of the state and federal courts located in Orange County, California, and waives any objection based on venue or forum non conveniens.</w:t>
      </w:r>
    </w:p>
    <w:tbl>
      <w:tblPr>
        <w:tblW w:w="3790" w:type="dxa"/>
        <w:jc w:val="left"/>
        <w:tblInd w:w="0" w:type="dxa"/>
        <w:tblLayout w:type="fixed"/>
        <w:tblCellMar>
          <w:top w:w="0" w:type="dxa"/>
          <w:left w:w="0" w:type="dxa"/>
          <w:bottom w:w="0" w:type="dxa"/>
          <w:right w:w="0" w:type="dxa"/>
        </w:tblCellMar>
      </w:tblPr>
      <w:tblGrid>
        <w:gridCol w:w="290"/>
        <w:gridCol w:w="3500"/>
      </w:tblGrid>
      <w:tr>
        <w:trPr/>
        <w:tc>
          <w:tcPr>
            <w:tcW w:w="290" w:type="dxa"/>
            <w:tcBorders/>
            <w:vAlign w:val="center"/>
          </w:tcPr>
          <w:p>
            <w:pPr>
              <w:pStyle w:val="TableContents"/>
              <w:bidi w:val="0"/>
              <w:spacing w:before="0" w:after="120"/>
              <w:jc w:val="left"/>
              <w:rPr>
                <w:rFonts w:ascii="Times New Roman;Times;serif" w:hAnsi="Times New Roman;Times;serif"/>
                <w:b/>
                <w:sz w:val="21"/>
              </w:rPr>
            </w:pPr>
            <w:r>
              <w:rPr>
                <w:rFonts w:ascii="Times New Roman;Times;serif" w:hAnsi="Times New Roman;Times;serif"/>
                <w:b/>
                <w:sz w:val="21"/>
              </w:rPr>
              <w:t>14.</w:t>
            </w:r>
          </w:p>
        </w:tc>
        <w:tc>
          <w:tcPr>
            <w:tcW w:w="3500" w:type="dxa"/>
            <w:tcBorders/>
            <w:vAlign w:val="center"/>
          </w:tcPr>
          <w:p>
            <w:pPr>
              <w:pStyle w:val="TableContents"/>
              <w:bidi w:val="0"/>
              <w:spacing w:before="0" w:after="120"/>
              <w:jc w:val="left"/>
              <w:rPr>
                <w:rFonts w:ascii="Times New Roman;Times;serif" w:hAnsi="Times New Roman;Times;serif"/>
                <w:b/>
                <w:sz w:val="21"/>
              </w:rPr>
            </w:pPr>
            <w:r>
              <w:rPr>
                <w:rFonts w:ascii="Times New Roman;Times;serif" w:hAnsi="Times New Roman;Times;serif"/>
                <w:b/>
                <w:sz w:val="21"/>
              </w:rPr>
              <w:t>LANGUAGE AND EFFECTIVENESS</w:t>
            </w:r>
          </w:p>
        </w:tc>
      </w:tr>
    </w:tbl>
    <w:p>
      <w:pPr>
        <w:pStyle w:val="TextBody"/>
        <w:bidi w:val="0"/>
        <w:spacing w:before="0" w:after="0"/>
        <w:ind w:left="0" w:right="0" w:hanging="0"/>
        <w:jc w:val="left"/>
        <w:rPr>
          <w:rFonts w:ascii="Times New Roman;Times;serif" w:hAnsi="Times New Roman;Times;serif"/>
          <w:sz w:val="19"/>
        </w:rPr>
      </w:pPr>
      <w:r>
        <w:rPr>
          <w:rFonts w:ascii="Times New Roman;Times;serif" w:hAnsi="Times New Roman;Times;serif"/>
          <w:sz w:val="19"/>
        </w:rPr>
        <w:t>This Contract is executed in English. Electronic signatures, scanned copies and electronically exchanged signature pages shall have the same effect as originals.</w:t>
      </w:r>
    </w:p>
    <w:p>
      <w:pPr>
        <w:pStyle w:val="TextBody"/>
        <w:bidi w:val="0"/>
        <w:spacing w:before="0" w:after="0"/>
        <w:ind w:left="36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660" w:type="dxa"/>
        <w:jc w:val="left"/>
        <w:tblInd w:w="0" w:type="dxa"/>
        <w:tblLayout w:type="fixed"/>
        <w:tblCellMar>
          <w:top w:w="0" w:type="dxa"/>
          <w:left w:w="0" w:type="dxa"/>
          <w:bottom w:w="0" w:type="dxa"/>
          <w:right w:w="0" w:type="dxa"/>
        </w:tblCellMar>
      </w:tblPr>
      <w:tblGrid>
        <w:gridCol w:w="290"/>
        <w:gridCol w:w="1370"/>
      </w:tblGrid>
      <w:tr>
        <w:trPr/>
        <w:tc>
          <w:tcPr>
            <w:tcW w:w="290" w:type="dxa"/>
            <w:tcBorders/>
            <w:vAlign w:val="center"/>
          </w:tcPr>
          <w:p>
            <w:pPr>
              <w:pStyle w:val="TableContents"/>
              <w:bidi w:val="0"/>
              <w:spacing w:before="0" w:after="120"/>
              <w:jc w:val="left"/>
              <w:rPr>
                <w:rFonts w:ascii="Times New Roman;Times;serif" w:hAnsi="Times New Roman;Times;serif"/>
                <w:b/>
                <w:sz w:val="21"/>
              </w:rPr>
            </w:pPr>
            <w:r>
              <w:rPr>
                <w:rFonts w:ascii="Times New Roman;Times;serif" w:hAnsi="Times New Roman;Times;serif"/>
                <w:b/>
                <w:sz w:val="21"/>
              </w:rPr>
              <w:t>15.</w:t>
            </w:r>
          </w:p>
        </w:tc>
        <w:tc>
          <w:tcPr>
            <w:tcW w:w="1370" w:type="dxa"/>
            <w:tcBorders/>
            <w:vAlign w:val="center"/>
          </w:tcPr>
          <w:p>
            <w:pPr>
              <w:pStyle w:val="TableContents"/>
              <w:bidi w:val="0"/>
              <w:spacing w:before="0" w:after="120"/>
              <w:jc w:val="left"/>
              <w:rPr>
                <w:rFonts w:ascii="Times New Roman;Times;serif" w:hAnsi="Times New Roman;Times;serif"/>
                <w:b/>
                <w:sz w:val="21"/>
              </w:rPr>
            </w:pPr>
            <w:r>
              <w:rPr>
                <w:rFonts w:ascii="Times New Roman;Times;serif" w:hAnsi="Times New Roman;Times;serif"/>
                <w:b/>
                <w:sz w:val="21"/>
              </w:rPr>
              <w:t>SIGNATURES</w:t>
            </w:r>
          </w:p>
        </w:tc>
      </w:tr>
    </w:tbl>
    <w:p>
      <w:pPr>
        <w:pStyle w:val="TextBody"/>
        <w:bidi w:val="0"/>
        <w:spacing w:before="0" w:after="0"/>
        <w:ind w:left="0" w:right="0" w:hanging="0"/>
        <w:jc w:val="left"/>
        <w:rPr>
          <w:rFonts w:ascii="Times New Roman;Times;serif" w:hAnsi="Times New Roman;Times;serif"/>
          <w:sz w:val="19"/>
        </w:rPr>
      </w:pPr>
      <w:r>
        <w:rPr>
          <w:rFonts w:ascii="Times New Roman;Times;serif" w:hAnsi="Times New Roman;Times;serif"/>
          <w:sz w:val="19"/>
        </w:rPr>
        <w:t>The authorized representatives of the Parties have executed this Contract as of the date first written above.</w:t>
      </w:r>
    </w:p>
    <w:p>
      <w:pPr>
        <w:pStyle w:val="TextBody"/>
        <w:bidi w:val="0"/>
        <w:spacing w:before="0" w:after="0"/>
        <w:ind w:left="0" w:right="0" w:hanging="0"/>
        <w:jc w:val="left"/>
        <w:rPr/>
      </w:pPr>
      <w:r>
        <w:rPr/>
        <w:t>​</w:t>
      </w:r>
    </w:p>
    <w:tbl>
      <w:tblPr>
        <w:tblW w:w="6792" w:type="dxa"/>
        <w:jc w:val="center"/>
        <w:tblInd w:w="0" w:type="dxa"/>
        <w:tblLayout w:type="fixed"/>
        <w:tblCellMar>
          <w:top w:w="28" w:type="dxa"/>
          <w:left w:w="28" w:type="dxa"/>
          <w:bottom w:w="0" w:type="dxa"/>
          <w:right w:w="0" w:type="dxa"/>
        </w:tblCellMar>
      </w:tblPr>
      <w:tblGrid>
        <w:gridCol w:w="124"/>
        <w:gridCol w:w="3047"/>
        <w:gridCol w:w="298"/>
        <w:gridCol w:w="109"/>
        <w:gridCol w:w="109"/>
        <w:gridCol w:w="2599"/>
        <w:gridCol w:w="506"/>
      </w:tblGrid>
      <w:tr>
        <w:trPr/>
        <w:tc>
          <w:tcPr>
            <w:tcW w:w="124" w:type="dxa"/>
            <w:tcBorders>
              <w:top w:val="single" w:sz="2" w:space="0" w:color="000000"/>
              <w:left w:val="single" w:sz="2" w:space="0" w:color="000000"/>
            </w:tcBorders>
            <w:vAlign w:val="center"/>
          </w:tcPr>
          <w:p>
            <w:pPr>
              <w:pStyle w:val="TableContents"/>
              <w:bidi w:val="0"/>
              <w:spacing w:before="0" w:after="0"/>
              <w:ind w:left="0" w:right="0" w:hanging="0"/>
              <w:jc w:val="left"/>
              <w:rPr/>
            </w:pPr>
            <w:r>
              <w:rPr/>
              <w:t>​</w:t>
            </w:r>
          </w:p>
        </w:tc>
        <w:tc>
          <w:tcPr>
            <w:tcW w:w="3345" w:type="dxa"/>
            <w:gridSpan w:val="2"/>
            <w:tcBorders>
              <w:top w:val="single" w:sz="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BUYER</w:t>
            </w:r>
          </w:p>
        </w:tc>
        <w:tc>
          <w:tcPr>
            <w:tcW w:w="109" w:type="dxa"/>
            <w:tcBorders>
              <w:top w:val="single" w:sz="2" w:space="0" w:color="000000"/>
              <w:right w:val="single" w:sz="2" w:space="0" w:color="000000"/>
            </w:tcBorders>
            <w:tcMar>
              <w:left w:w="0" w:type="dxa"/>
              <w:right w:w="28" w:type="dxa"/>
            </w:tcMar>
            <w:vAlign w:val="center"/>
          </w:tcPr>
          <w:p>
            <w:pPr>
              <w:pStyle w:val="TableContents"/>
              <w:bidi w:val="0"/>
              <w:spacing w:before="0" w:after="0"/>
              <w:ind w:left="0" w:right="0" w:hanging="0"/>
              <w:jc w:val="left"/>
              <w:rPr/>
            </w:pPr>
            <w:r>
              <w:rPr/>
              <w:t>​</w:t>
            </w:r>
          </w:p>
        </w:tc>
        <w:tc>
          <w:tcPr>
            <w:tcW w:w="109" w:type="dxa"/>
            <w:tcBorders>
              <w:top w:val="single" w:sz="2" w:space="0" w:color="000000"/>
              <w:left w:val="single" w:sz="2" w:space="0" w:color="000000"/>
            </w:tcBorders>
            <w:vAlign w:val="center"/>
          </w:tcPr>
          <w:p>
            <w:pPr>
              <w:pStyle w:val="TableContents"/>
              <w:bidi w:val="0"/>
              <w:spacing w:before="0" w:after="0"/>
              <w:ind w:left="0" w:right="0" w:hanging="0"/>
              <w:jc w:val="left"/>
              <w:rPr/>
            </w:pPr>
            <w:r>
              <w:rPr/>
              <w:t>​</w:t>
            </w:r>
          </w:p>
        </w:tc>
        <w:tc>
          <w:tcPr>
            <w:tcW w:w="3105" w:type="dxa"/>
            <w:gridSpan w:val="2"/>
            <w:tcBorders>
              <w:top w:val="single" w:sz="2" w:space="0" w:color="000000"/>
              <w:right w:val="single" w:sz="2" w:space="0" w:color="000000"/>
            </w:tcBorders>
            <w:tcMar>
              <w:left w:w="0" w:type="dxa"/>
              <w:right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SELLER</w:t>
            </w:r>
          </w:p>
        </w:tc>
      </w:tr>
      <w:tr>
        <w:trPr/>
        <w:tc>
          <w:tcPr>
            <w:tcW w:w="124" w:type="dxa"/>
            <w:tcBorders>
              <w:left w:val="single" w:sz="2" w:space="0" w:color="000000"/>
            </w:tcBorders>
            <w:tcMar>
              <w:top w:w="0" w:type="dxa"/>
            </w:tcMar>
            <w:vAlign w:val="center"/>
          </w:tcPr>
          <w:p>
            <w:pPr>
              <w:pStyle w:val="TableContents"/>
              <w:bidi w:val="0"/>
              <w:spacing w:before="0" w:after="0"/>
              <w:ind w:left="0" w:right="0" w:hanging="0"/>
              <w:jc w:val="left"/>
              <w:rPr/>
            </w:pPr>
            <w:r>
              <w:rPr/>
              <w:t>​</w:t>
            </w:r>
          </w:p>
        </w:tc>
        <w:tc>
          <w:tcPr>
            <w:tcW w:w="3345" w:type="dxa"/>
            <w:gridSpan w:val="2"/>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Cheetah Net Supply Chain Service Inc.</w:t>
            </w:r>
          </w:p>
        </w:tc>
        <w:tc>
          <w:tcPr>
            <w:tcW w:w="109" w:type="dxa"/>
            <w:tcBorders>
              <w:right w:val="single" w:sz="2" w:space="0" w:color="000000"/>
            </w:tcBorders>
            <w:tcMar>
              <w:top w:w="0" w:type="dxa"/>
              <w:left w:w="0" w:type="dxa"/>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top w:w="0" w:type="dxa"/>
            </w:tcMar>
            <w:vAlign w:val="center"/>
          </w:tcPr>
          <w:p>
            <w:pPr>
              <w:pStyle w:val="TableContents"/>
              <w:bidi w:val="0"/>
              <w:spacing w:before="0" w:after="0"/>
              <w:ind w:left="0" w:right="0" w:hanging="0"/>
              <w:jc w:val="left"/>
              <w:rPr/>
            </w:pPr>
            <w:r>
              <w:rPr/>
              <w:t>​</w:t>
            </w:r>
          </w:p>
        </w:tc>
        <w:tc>
          <w:tcPr>
            <w:tcW w:w="3105" w:type="dxa"/>
            <w:gridSpan w:val="2"/>
            <w:tcBorders>
              <w:right w:val="single" w:sz="2" w:space="0" w:color="000000"/>
            </w:tcBorders>
            <w:tcMar>
              <w:top w:w="0" w:type="dxa"/>
              <w:left w:w="0" w:type="dxa"/>
              <w:right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Eurosun Holdings Inc Corporation</w:t>
            </w:r>
          </w:p>
        </w:tc>
      </w:tr>
      <w:tr>
        <w:trPr/>
        <w:tc>
          <w:tcPr>
            <w:tcW w:w="124" w:type="dxa"/>
            <w:tcBorders>
              <w:left w:val="single" w:sz="2" w:space="0" w:color="000000"/>
            </w:tcBorders>
            <w:tcMar>
              <w:top w:w="0" w:type="dxa"/>
            </w:tcMar>
            <w:vAlign w:val="center"/>
          </w:tcPr>
          <w:p>
            <w:pPr>
              <w:pStyle w:val="TableContents"/>
              <w:bidi w:val="0"/>
              <w:spacing w:before="0" w:after="0"/>
              <w:ind w:left="0" w:right="0" w:hanging="0"/>
              <w:jc w:val="left"/>
              <w:rPr/>
            </w:pPr>
            <w:r>
              <w:rPr/>
              <w:t>​</w:t>
            </w:r>
          </w:p>
        </w:tc>
        <w:tc>
          <w:tcPr>
            <w:tcW w:w="3345" w:type="dxa"/>
            <w:gridSpan w:val="2"/>
            <w:tcBorders/>
            <w:tcMar>
              <w:top w:w="0" w:type="dxa"/>
              <w:left w:w="0" w:type="dxa"/>
            </w:tcMar>
            <w:vAlign w:val="center"/>
          </w:tcPr>
          <w:p>
            <w:pPr>
              <w:pStyle w:val="TableContents"/>
              <w:bidi w:val="0"/>
              <w:spacing w:before="0" w:after="0"/>
              <w:ind w:left="0" w:right="0" w:hanging="0"/>
              <w:jc w:val="left"/>
              <w:rPr/>
            </w:pPr>
            <w:r>
              <w:rPr/>
              <w:t>​</w:t>
            </w:r>
          </w:p>
        </w:tc>
        <w:tc>
          <w:tcPr>
            <w:tcW w:w="109" w:type="dxa"/>
            <w:tcBorders>
              <w:right w:val="single" w:sz="2" w:space="0" w:color="000000"/>
            </w:tcBorders>
            <w:tcMar>
              <w:top w:w="0" w:type="dxa"/>
              <w:left w:w="0" w:type="dxa"/>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top w:w="0" w:type="dxa"/>
            </w:tcMar>
            <w:vAlign w:val="center"/>
          </w:tcPr>
          <w:p>
            <w:pPr>
              <w:pStyle w:val="TableContents"/>
              <w:bidi w:val="0"/>
              <w:spacing w:before="0" w:after="0"/>
              <w:ind w:left="0" w:right="0" w:hanging="0"/>
              <w:jc w:val="left"/>
              <w:rPr/>
            </w:pPr>
            <w:r>
              <w:rPr/>
              <w:t>​</w:t>
            </w:r>
          </w:p>
        </w:tc>
        <w:tc>
          <w:tcPr>
            <w:tcW w:w="3105" w:type="dxa"/>
            <w:gridSpan w:val="2"/>
            <w:tcBorders>
              <w:right w:val="single" w:sz="2" w:space="0" w:color="000000"/>
            </w:tcBorders>
            <w:tcMar>
              <w:top w:w="0" w:type="dxa"/>
              <w:left w:w="0" w:type="dxa"/>
              <w:right w:w="28" w:type="dxa"/>
            </w:tcMar>
            <w:vAlign w:val="center"/>
          </w:tcPr>
          <w:p>
            <w:pPr>
              <w:pStyle w:val="TableContents"/>
              <w:bidi w:val="0"/>
              <w:spacing w:before="0" w:after="0"/>
              <w:ind w:left="0" w:right="0" w:hanging="0"/>
              <w:jc w:val="left"/>
              <w:rPr/>
            </w:pPr>
            <w:r>
              <w:rPr/>
              <w:t>​</w:t>
            </w:r>
          </w:p>
        </w:tc>
      </w:tr>
      <w:tr>
        <w:trPr/>
        <w:tc>
          <w:tcPr>
            <w:tcW w:w="124" w:type="dxa"/>
            <w:tcBorders>
              <w:left w:val="single" w:sz="2" w:space="0" w:color="000000"/>
            </w:tcBorders>
            <w:tcMar>
              <w:top w:w="0" w:type="dxa"/>
            </w:tcMar>
            <w:vAlign w:val="center"/>
          </w:tcPr>
          <w:p>
            <w:pPr>
              <w:pStyle w:val="TableContents"/>
              <w:bidi w:val="0"/>
              <w:spacing w:before="0" w:after="0"/>
              <w:ind w:left="0" w:right="0" w:hanging="0"/>
              <w:jc w:val="left"/>
              <w:rPr/>
            </w:pPr>
            <w:r>
              <w:rPr/>
              <w:t>​</w:t>
            </w:r>
          </w:p>
        </w:tc>
        <w:tc>
          <w:tcPr>
            <w:tcW w:w="3345" w:type="dxa"/>
            <w:gridSpan w:val="2"/>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Authorized Representative:</w:t>
            </w:r>
          </w:p>
        </w:tc>
        <w:tc>
          <w:tcPr>
            <w:tcW w:w="109" w:type="dxa"/>
            <w:tcBorders>
              <w:right w:val="single" w:sz="2" w:space="0" w:color="000000"/>
            </w:tcBorders>
            <w:tcMar>
              <w:top w:w="0" w:type="dxa"/>
              <w:left w:w="0" w:type="dxa"/>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top w:w="0" w:type="dxa"/>
            </w:tcMar>
            <w:vAlign w:val="center"/>
          </w:tcPr>
          <w:p>
            <w:pPr>
              <w:pStyle w:val="TableContents"/>
              <w:bidi w:val="0"/>
              <w:spacing w:before="0" w:after="0"/>
              <w:ind w:left="0" w:right="0" w:hanging="0"/>
              <w:jc w:val="left"/>
              <w:rPr/>
            </w:pPr>
            <w:r>
              <w:rPr/>
              <w:t>​</w:t>
            </w:r>
          </w:p>
        </w:tc>
        <w:tc>
          <w:tcPr>
            <w:tcW w:w="3105" w:type="dxa"/>
            <w:gridSpan w:val="2"/>
            <w:tcBorders>
              <w:right w:val="single" w:sz="2" w:space="0" w:color="000000"/>
            </w:tcBorders>
            <w:tcMar>
              <w:top w:w="0" w:type="dxa"/>
              <w:left w:w="0" w:type="dxa"/>
              <w:right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Authorized Representative:</w:t>
            </w:r>
          </w:p>
        </w:tc>
      </w:tr>
      <w:tr>
        <w:trPr/>
        <w:tc>
          <w:tcPr>
            <w:tcW w:w="124" w:type="dxa"/>
            <w:tcBorders>
              <w:left w:val="single" w:sz="2" w:space="0" w:color="000000"/>
            </w:tcBorders>
            <w:tcMar>
              <w:top w:w="0" w:type="dxa"/>
            </w:tcMar>
            <w:vAlign w:val="center"/>
          </w:tcPr>
          <w:p>
            <w:pPr>
              <w:pStyle w:val="TableContents"/>
              <w:bidi w:val="0"/>
              <w:spacing w:before="0" w:after="0"/>
              <w:ind w:left="0" w:right="0" w:hanging="0"/>
              <w:jc w:val="left"/>
              <w:rPr/>
            </w:pPr>
            <w:r>
              <w:rPr/>
              <w:t>​</w:t>
            </w:r>
          </w:p>
        </w:tc>
        <w:tc>
          <w:tcPr>
            <w:tcW w:w="3345" w:type="dxa"/>
            <w:gridSpan w:val="2"/>
            <w:tcBorders/>
            <w:tcMar>
              <w:top w:w="0" w:type="dxa"/>
              <w:left w:w="0" w:type="dxa"/>
            </w:tcMar>
            <w:vAlign w:val="center"/>
          </w:tcPr>
          <w:p>
            <w:pPr>
              <w:pStyle w:val="TableContents"/>
              <w:bidi w:val="0"/>
              <w:spacing w:before="0" w:after="0"/>
              <w:ind w:left="0" w:right="0" w:hanging="0"/>
              <w:jc w:val="left"/>
              <w:rPr/>
            </w:pPr>
            <w:r>
              <w:rPr/>
              <w:t>​</w:t>
            </w:r>
          </w:p>
        </w:tc>
        <w:tc>
          <w:tcPr>
            <w:tcW w:w="109" w:type="dxa"/>
            <w:tcBorders>
              <w:right w:val="single" w:sz="2" w:space="0" w:color="000000"/>
            </w:tcBorders>
            <w:tcMar>
              <w:top w:w="0" w:type="dxa"/>
              <w:left w:w="0" w:type="dxa"/>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top w:w="0" w:type="dxa"/>
            </w:tcMar>
            <w:vAlign w:val="center"/>
          </w:tcPr>
          <w:p>
            <w:pPr>
              <w:pStyle w:val="TableContents"/>
              <w:bidi w:val="0"/>
              <w:spacing w:before="0" w:after="0"/>
              <w:ind w:left="0" w:right="0" w:hanging="0"/>
              <w:jc w:val="left"/>
              <w:rPr/>
            </w:pPr>
            <w:r>
              <w:rPr/>
              <w:t>​</w:t>
            </w:r>
          </w:p>
        </w:tc>
        <w:tc>
          <w:tcPr>
            <w:tcW w:w="3105" w:type="dxa"/>
            <w:gridSpan w:val="2"/>
            <w:tcBorders>
              <w:right w:val="single" w:sz="2" w:space="0" w:color="000000"/>
            </w:tcBorders>
            <w:tcMar>
              <w:top w:w="0" w:type="dxa"/>
              <w:left w:w="0" w:type="dxa"/>
              <w:right w:w="28" w:type="dxa"/>
            </w:tcMar>
            <w:vAlign w:val="center"/>
          </w:tcPr>
          <w:p>
            <w:pPr>
              <w:pStyle w:val="TableContents"/>
              <w:bidi w:val="0"/>
              <w:spacing w:before="0" w:after="0"/>
              <w:ind w:left="0" w:right="0" w:hanging="0"/>
              <w:jc w:val="left"/>
              <w:rPr/>
            </w:pPr>
            <w:r>
              <w:rPr/>
              <w:t>​</w:t>
            </w:r>
          </w:p>
        </w:tc>
      </w:tr>
      <w:tr>
        <w:trPr/>
        <w:tc>
          <w:tcPr>
            <w:tcW w:w="124" w:type="dxa"/>
            <w:tcBorders>
              <w:left w:val="single" w:sz="2" w:space="0" w:color="000000"/>
            </w:tcBorders>
            <w:tcMar>
              <w:top w:w="0" w:type="dxa"/>
            </w:tcMar>
            <w:vAlign w:val="center"/>
          </w:tcPr>
          <w:p>
            <w:pPr>
              <w:pStyle w:val="TableContents"/>
              <w:bidi w:val="0"/>
              <w:spacing w:before="0" w:after="0"/>
              <w:ind w:left="0" w:right="0" w:hanging="0"/>
              <w:jc w:val="left"/>
              <w:rPr/>
            </w:pPr>
            <w:r>
              <w:rPr/>
              <w:t>​</w:t>
            </w:r>
          </w:p>
        </w:tc>
        <w:tc>
          <w:tcPr>
            <w:tcW w:w="3047" w:type="dxa"/>
            <w:tcBorders>
              <w:bottom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Huan Liu</w:t>
            </w:r>
          </w:p>
        </w:tc>
        <w:tc>
          <w:tcPr>
            <w:tcW w:w="298" w:type="dxa"/>
            <w:tcBorders/>
            <w:tcMar>
              <w:top w:w="0" w:type="dxa"/>
              <w:left w:w="0" w:type="dxa"/>
            </w:tcMar>
            <w:vAlign w:val="center"/>
          </w:tcPr>
          <w:p>
            <w:pPr>
              <w:pStyle w:val="TableContents"/>
              <w:bidi w:val="0"/>
              <w:spacing w:before="0" w:after="0"/>
              <w:ind w:left="0" w:right="0" w:hanging="0"/>
              <w:jc w:val="left"/>
              <w:rPr/>
            </w:pPr>
            <w:r>
              <w:rPr/>
              <w:t>​</w:t>
            </w:r>
          </w:p>
        </w:tc>
        <w:tc>
          <w:tcPr>
            <w:tcW w:w="109" w:type="dxa"/>
            <w:tcBorders>
              <w:right w:val="single" w:sz="2" w:space="0" w:color="000000"/>
            </w:tcBorders>
            <w:tcMar>
              <w:top w:w="0" w:type="dxa"/>
              <w:left w:w="0" w:type="dxa"/>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top w:w="0" w:type="dxa"/>
            </w:tcMar>
            <w:vAlign w:val="center"/>
          </w:tcPr>
          <w:p>
            <w:pPr>
              <w:pStyle w:val="TableContents"/>
              <w:bidi w:val="0"/>
              <w:spacing w:before="0" w:after="0"/>
              <w:ind w:left="0" w:right="0" w:hanging="0"/>
              <w:jc w:val="left"/>
              <w:rPr/>
            </w:pPr>
            <w:r>
              <w:rPr/>
              <w:t>​</w:t>
            </w:r>
          </w:p>
        </w:tc>
        <w:tc>
          <w:tcPr>
            <w:tcW w:w="2599" w:type="dxa"/>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Yu Shen</w:t>
            </w:r>
          </w:p>
        </w:tc>
        <w:tc>
          <w:tcPr>
            <w:tcW w:w="506" w:type="dxa"/>
            <w:tcBorders>
              <w:right w:val="single" w:sz="2" w:space="0" w:color="000000"/>
            </w:tcBorders>
            <w:tcMar>
              <w:top w:w="0" w:type="dxa"/>
              <w:left w:w="0" w:type="dxa"/>
              <w:right w:w="28" w:type="dxa"/>
            </w:tcMar>
            <w:vAlign w:val="center"/>
          </w:tcPr>
          <w:p>
            <w:pPr>
              <w:pStyle w:val="TableContents"/>
              <w:bidi w:val="0"/>
              <w:spacing w:before="0" w:after="0"/>
              <w:ind w:left="0" w:right="0" w:hanging="0"/>
              <w:jc w:val="left"/>
              <w:rPr/>
            </w:pPr>
            <w:r>
              <w:rPr/>
              <w:t>​</w:t>
            </w:r>
          </w:p>
        </w:tc>
      </w:tr>
      <w:tr>
        <w:trPr/>
        <w:tc>
          <w:tcPr>
            <w:tcW w:w="6792" w:type="dxa"/>
            <w:gridSpan w:val="7"/>
            <w:tcBorders/>
            <w:tcMar>
              <w:top w:w="0" w:type="dxa"/>
              <w:left w:w="0" w:type="dxa"/>
            </w:tcMar>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left w:val="single" w:sz="2" w:space="0" w:color="000000"/>
            </w:tcBorders>
            <w:tcMar>
              <w:top w:w="0" w:type="dxa"/>
            </w:tcMar>
            <w:vAlign w:val="center"/>
          </w:tcPr>
          <w:p>
            <w:pPr>
              <w:pStyle w:val="TableContents"/>
              <w:bidi w:val="0"/>
              <w:spacing w:before="0" w:after="0"/>
              <w:ind w:left="0" w:right="0" w:hanging="0"/>
              <w:jc w:val="left"/>
              <w:rPr/>
            </w:pPr>
            <w:r>
              <w:rPr/>
              <w:t>​</w:t>
            </w:r>
          </w:p>
        </w:tc>
        <w:tc>
          <w:tcPr>
            <w:tcW w:w="3345" w:type="dxa"/>
            <w:gridSpan w:val="2"/>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b/>
                <w:sz w:val="19"/>
              </w:rPr>
              <w:t>Date:</w:t>
            </w:r>
            <w:r>
              <w:rPr>
                <w:rFonts w:ascii="Times New Roman;Times;serif" w:hAnsi="Times New Roman;Times;serif"/>
                <w:sz w:val="18"/>
              </w:rPr>
              <w:t> </w:t>
            </w:r>
            <w:r>
              <w:rPr>
                <w:rFonts w:ascii="Times New Roman;Times;serif" w:hAnsi="Times New Roman;Times;serif"/>
                <w:sz w:val="18"/>
                <w:u w:val="single"/>
              </w:rPr>
              <w:t>    </w:t>
            </w:r>
            <w:r>
              <w:rPr>
                <w:rFonts w:ascii="Times New Roman;Times;serif" w:hAnsi="Times New Roman;Times;serif"/>
                <w:sz w:val="19"/>
                <w:u w:val="single"/>
              </w:rPr>
              <w:t>06/09/2026</w:t>
            </w:r>
            <w:r>
              <w:rPr>
                <w:rFonts w:ascii="Times New Roman;Times;serif" w:hAnsi="Times New Roman;Times;serif"/>
                <w:sz w:val="18"/>
              </w:rPr>
              <w:t>                      </w:t>
            </w:r>
          </w:p>
        </w:tc>
        <w:tc>
          <w:tcPr>
            <w:tcW w:w="109" w:type="dxa"/>
            <w:tcBorders>
              <w:right w:val="single" w:sz="2" w:space="0" w:color="000000"/>
            </w:tcBorders>
            <w:tcMar>
              <w:top w:w="0" w:type="dxa"/>
              <w:left w:w="0" w:type="dxa"/>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top w:w="0" w:type="dxa"/>
            </w:tcMar>
            <w:vAlign w:val="center"/>
          </w:tcPr>
          <w:p>
            <w:pPr>
              <w:pStyle w:val="TableContents"/>
              <w:bidi w:val="0"/>
              <w:spacing w:before="0" w:after="0"/>
              <w:ind w:left="0" w:right="0" w:hanging="0"/>
              <w:jc w:val="left"/>
              <w:rPr/>
            </w:pPr>
            <w:r>
              <w:rPr/>
              <w:t>​</w:t>
            </w:r>
          </w:p>
        </w:tc>
        <w:tc>
          <w:tcPr>
            <w:tcW w:w="3105" w:type="dxa"/>
            <w:gridSpan w:val="2"/>
            <w:tcBorders>
              <w:right w:val="single" w:sz="2" w:space="0" w:color="000000"/>
            </w:tcBorders>
            <w:tcMar>
              <w:top w:w="0" w:type="dxa"/>
              <w:left w:w="0" w:type="dxa"/>
              <w:right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Date:</w:t>
            </w:r>
          </w:p>
        </w:tc>
      </w:tr>
      <w:tr>
        <w:trPr/>
        <w:tc>
          <w:tcPr>
            <w:tcW w:w="124" w:type="dxa"/>
            <w:tcBorders>
              <w:left w:val="single" w:sz="2" w:space="0" w:color="000000"/>
              <w:bottom w:val="single" w:sz="2" w:space="0" w:color="000000"/>
            </w:tcBorders>
            <w:tcMar>
              <w:top w:w="0" w:type="dxa"/>
              <w:bottom w:w="28" w:type="dxa"/>
            </w:tcMar>
            <w:vAlign w:val="center"/>
          </w:tcPr>
          <w:p>
            <w:pPr>
              <w:pStyle w:val="TableContents"/>
              <w:bidi w:val="0"/>
              <w:spacing w:before="0" w:after="0"/>
              <w:ind w:left="0" w:right="0" w:hanging="0"/>
              <w:jc w:val="left"/>
              <w:rPr/>
            </w:pPr>
            <w:r>
              <w:rPr/>
              <w:t>​</w:t>
            </w:r>
          </w:p>
        </w:tc>
        <w:tc>
          <w:tcPr>
            <w:tcW w:w="3345" w:type="dxa"/>
            <w:gridSpan w:val="2"/>
            <w:tcBorders>
              <w:bottom w:val="single" w:sz="2" w:space="0" w:color="000000"/>
            </w:tcBorders>
            <w:tcMar>
              <w:top w:w="0" w:type="dxa"/>
              <w:left w:w="0" w:type="dxa"/>
              <w:bottom w:w="28" w:type="dxa"/>
            </w:tcMar>
            <w:vAlign w:val="center"/>
          </w:tcPr>
          <w:p>
            <w:pPr>
              <w:pStyle w:val="TableContents"/>
              <w:bidi w:val="0"/>
              <w:spacing w:before="0" w:after="0"/>
              <w:ind w:left="0" w:right="0" w:hanging="0"/>
              <w:jc w:val="left"/>
              <w:rPr/>
            </w:pPr>
            <w:r>
              <w:rPr/>
              <w:t>​</w:t>
            </w:r>
          </w:p>
        </w:tc>
        <w:tc>
          <w:tcPr>
            <w:tcW w:w="109" w:type="dxa"/>
            <w:tcBorders>
              <w:bottom w:val="single" w:sz="2" w:space="0" w:color="000000"/>
              <w:right w:val="single" w:sz="2" w:space="0" w:color="000000"/>
            </w:tcBorders>
            <w:tcMar>
              <w:top w:w="0" w:type="dxa"/>
              <w:left w:w="0" w:type="dxa"/>
              <w:bottom w:w="28" w:type="dxa"/>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bottom w:val="single" w:sz="2" w:space="0" w:color="000000"/>
            </w:tcBorders>
            <w:tcMar>
              <w:top w:w="0" w:type="dxa"/>
              <w:bottom w:w="28" w:type="dxa"/>
            </w:tcMar>
            <w:vAlign w:val="center"/>
          </w:tcPr>
          <w:p>
            <w:pPr>
              <w:pStyle w:val="TableContents"/>
              <w:bidi w:val="0"/>
              <w:spacing w:before="0" w:after="0"/>
              <w:ind w:left="0" w:right="0" w:hanging="0"/>
              <w:jc w:val="left"/>
              <w:rPr/>
            </w:pPr>
            <w:r>
              <w:rPr/>
              <w:t>​</w:t>
            </w:r>
          </w:p>
        </w:tc>
        <w:tc>
          <w:tcPr>
            <w:tcW w:w="3105" w:type="dxa"/>
            <w:gridSpan w:val="2"/>
            <w:tcBorders>
              <w:bottom w:val="single" w:sz="2" w:space="0" w:color="000000"/>
              <w:right w:val="single" w:sz="2" w:space="0" w:color="000000"/>
            </w:tcBorders>
            <w:tcMar>
              <w:top w:w="0" w:type="dxa"/>
              <w:left w:w="0" w:type="dxa"/>
              <w:bottom w:w="28" w:type="dxa"/>
              <w:right w:w="28" w:type="dxa"/>
            </w:tcMar>
            <w:vAlign w:val="center"/>
          </w:tcPr>
          <w:p>
            <w:pPr>
              <w:pStyle w:val="TableContents"/>
              <w:bidi w:val="0"/>
              <w:spacing w:before="0" w:after="0"/>
              <w:ind w:left="0" w:right="0" w:hanging="0"/>
              <w:jc w:val="left"/>
              <w:rPr/>
            </w:pPr>
            <w:r>
              <w:rPr>
                <w:u w:val="single"/>
              </w:rPr>
              <w:t>  ​ ​ ​ ​</w:t>
            </w:r>
            <w:r>
              <w:rPr>
                <w:rFonts w:ascii="Times New Roman;Times;serif" w:hAnsi="Times New Roman;Times;serif"/>
                <w:b/>
                <w:sz w:val="19"/>
              </w:rPr>
              <w:t>06/09/2026</w:t>
            </w:r>
            <w:r>
              <w:rPr>
                <w:rFonts w:ascii="Times New Roman;Times;serif" w:hAnsi="Times New Roman;Times;serif"/>
                <w:sz w:val="18"/>
                <w:u w:val="single"/>
              </w:rPr>
              <w:t>                         </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449" w:name="ctnt-20260630xex10d18.htm"/>
      <w:bookmarkStart w:id="1450" w:name="ksctnt20260630xex10d18"/>
      <w:bookmarkEnd w:id="1449"/>
      <w:bookmarkEnd w:id="1450"/>
      <w:r>
        <w:rPr>
          <w:rFonts w:ascii="Times New Roman;Times;serif" w:hAnsi="Times New Roman;Times;serif"/>
          <w:b/>
          <w:sz w:val="20"/>
        </w:rPr>
        <w:t>Exhibit 10.18</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eastAsia="Microsoft YaHei"/>
          <w:b/>
          <w:sz w:val="32"/>
        </w:rPr>
      </w:pPr>
      <w:r>
        <w:rPr>
          <w:rFonts w:eastAsia="Microsoft YaHei"/>
          <w:b/>
          <w:sz w:val="32"/>
        </w:rPr>
        <w:t>合同</w:t>
      </w:r>
    </w:p>
    <w:p>
      <w:pPr>
        <w:pStyle w:val="TextBody"/>
        <w:bidi w:val="0"/>
        <w:spacing w:before="0" w:after="200"/>
        <w:ind w:left="0" w:right="0" w:hanging="0"/>
        <w:jc w:val="center"/>
        <w:rPr>
          <w:rFonts w:ascii="Times New Roman;Times;serif" w:hAnsi="Times New Roman;Times;serif"/>
          <w:b/>
          <w:sz w:val="32"/>
        </w:rPr>
      </w:pPr>
      <w:r>
        <w:rPr>
          <w:rFonts w:ascii="Times New Roman;Times;serif" w:hAnsi="Times New Roman;Times;serif"/>
          <w:b/>
          <w:sz w:val="32"/>
        </w:rPr>
        <w:t>CONTRACT</w:t>
      </w:r>
    </w:p>
    <w:p>
      <w:pPr>
        <w:pStyle w:val="TextBody"/>
        <w:bidi w:val="0"/>
        <w:spacing w:before="0" w:after="200"/>
        <w:ind w:left="0" w:right="0" w:hanging="0"/>
        <w:jc w:val="left"/>
        <w:rPr/>
      </w:pPr>
      <w:r>
        <w:rPr>
          <w:rFonts w:eastAsia="Microsoft YaHei"/>
          <w:b/>
          <w:sz w:val="20"/>
        </w:rPr>
        <w:t>合同编号：</w:t>
      </w:r>
      <w:r>
        <w:rPr>
          <w:rFonts w:ascii="Times New Roman;Times;serif" w:hAnsi="Times New Roman;Times;serif"/>
          <w:sz w:val="20"/>
        </w:rPr>
        <w:t>YX2026061001</w:t>
        <w:br/>
      </w:r>
      <w:r>
        <w:rPr>
          <w:rFonts w:eastAsia="Microsoft YaHei"/>
          <w:b/>
          <w:sz w:val="20"/>
        </w:rPr>
        <w:t>签约地点：</w:t>
      </w:r>
      <w:r>
        <w:rPr>
          <w:rFonts w:eastAsia="Microsoft YaHei"/>
          <w:sz w:val="20"/>
        </w:rPr>
        <w:t>香港</w:t>
      </w:r>
      <w:r>
        <w:rPr>
          <w:rFonts w:ascii="Times New Roman;Times;serif" w:hAnsi="Times New Roman;Times;serif"/>
          <w:sz w:val="20"/>
        </w:rPr>
        <w:br/>
      </w:r>
      <w:r>
        <w:rPr>
          <w:rFonts w:eastAsia="Microsoft YaHei"/>
          <w:b/>
          <w:sz w:val="20"/>
        </w:rPr>
        <w:t>签约日期：</w:t>
      </w:r>
      <w:r>
        <w:rPr>
          <w:rFonts w:ascii="Times New Roman;Times;serif" w:hAnsi="Times New Roman;Times;serif"/>
          <w:sz w:val="20"/>
        </w:rPr>
        <w:t>2026</w:t>
      </w:r>
      <w:r>
        <w:rPr>
          <w:rFonts w:eastAsia="Microsoft YaHei"/>
          <w:sz w:val="20"/>
        </w:rPr>
        <w:t>年</w:t>
      </w:r>
      <w:r>
        <w:rPr>
          <w:rFonts w:ascii="Times New Roman;Times;serif" w:hAnsi="Times New Roman;Times;serif"/>
          <w:sz w:val="20"/>
        </w:rPr>
        <w:t>6</w:t>
      </w:r>
      <w:r>
        <w:rPr>
          <w:rFonts w:eastAsia="Microsoft YaHei"/>
          <w:sz w:val="20"/>
        </w:rPr>
        <w:t>月</w:t>
      </w:r>
      <w:r>
        <w:rPr>
          <w:rFonts w:ascii="Times New Roman;Times;serif" w:hAnsi="Times New Roman;Times;serif"/>
          <w:sz w:val="20"/>
        </w:rPr>
        <w:t>10</w:t>
      </w:r>
      <w:r>
        <w:rPr>
          <w:rFonts w:eastAsia="Microsoft YaHei"/>
          <w:sz w:val="20"/>
        </w:rPr>
        <w:t>日</w:t>
      </w:r>
      <w:r>
        <w:rPr>
          <w:rFonts w:ascii="Times New Roman;Times;serif" w:hAnsi="Times New Roman;Times;serif"/>
          <w:sz w:val="20"/>
        </w:rPr>
        <w:br/>
      </w:r>
      <w:r>
        <w:rPr>
          <w:rFonts w:ascii="Times New Roman;Times;serif" w:hAnsi="Times New Roman;Times;serif"/>
          <w:b/>
          <w:sz w:val="20"/>
        </w:rPr>
        <w:t xml:space="preserve">Contract No.: </w:t>
      </w:r>
      <w:r>
        <w:rPr>
          <w:rFonts w:ascii="Times New Roman;Times;serif" w:hAnsi="Times New Roman;Times;serif"/>
          <w:sz w:val="20"/>
        </w:rPr>
        <w:t>YX2026061001</w:t>
        <w:br/>
      </w:r>
      <w:r>
        <w:rPr>
          <w:rFonts w:ascii="Times New Roman;Times;serif" w:hAnsi="Times New Roman;Times;serif"/>
          <w:b/>
          <w:sz w:val="20"/>
        </w:rPr>
        <w:t xml:space="preserve">Place of Signing: </w:t>
      </w:r>
      <w:r>
        <w:rPr>
          <w:rFonts w:ascii="Times New Roman;Times;serif" w:hAnsi="Times New Roman;Times;serif"/>
          <w:sz w:val="20"/>
        </w:rPr>
        <w:t>Hong Kong</w:t>
        <w:br/>
      </w:r>
      <w:r>
        <w:rPr>
          <w:rFonts w:ascii="Times New Roman;Times;serif" w:hAnsi="Times New Roman;Times;serif"/>
          <w:b/>
          <w:sz w:val="20"/>
        </w:rPr>
        <w:t xml:space="preserve">Date: </w:t>
      </w:r>
      <w:r>
        <w:rPr>
          <w:rFonts w:ascii="Times New Roman;Times;serif" w:hAnsi="Times New Roman;Times;serif"/>
          <w:sz w:val="20"/>
        </w:rPr>
        <w:t>June 10, 2026</w:t>
      </w:r>
    </w:p>
    <w:p>
      <w:pPr>
        <w:pStyle w:val="TextBody"/>
        <w:bidi w:val="0"/>
        <w:spacing w:before="0" w:after="60"/>
        <w:ind w:left="0" w:right="0" w:hanging="0"/>
        <w:jc w:val="left"/>
        <w:rPr/>
      </w:pPr>
      <w:r>
        <w:rPr>
          <w:rFonts w:eastAsia="Microsoft YaHei"/>
          <w:b/>
          <w:sz w:val="20"/>
        </w:rPr>
        <w:t>卖方</w:t>
      </w:r>
      <w:r>
        <w:rPr>
          <w:rFonts w:eastAsia="Times New Roman;Times;serif"/>
          <w:sz w:val="20"/>
        </w:rPr>
        <w:t xml:space="preserve"> </w:t>
      </w:r>
      <w:r>
        <w:rPr>
          <w:rFonts w:ascii="Times New Roman;Times;serif" w:hAnsi="Times New Roman;Times;serif"/>
          <w:b/>
          <w:sz w:val="20"/>
        </w:rPr>
        <w:t>/ SELLER</w:t>
      </w:r>
    </w:p>
    <w:p>
      <w:pPr>
        <w:pStyle w:val="TextBody"/>
        <w:bidi w:val="0"/>
        <w:spacing w:before="0" w:after="200"/>
        <w:ind w:left="0" w:right="0" w:hanging="0"/>
        <w:jc w:val="left"/>
        <w:rPr/>
      </w:pPr>
      <w:r>
        <w:rPr>
          <w:rFonts w:eastAsia="Microsoft YaHei"/>
          <w:b/>
          <w:sz w:val="20"/>
        </w:rPr>
        <w:t>香港毅昌投资有限公司</w:t>
      </w:r>
      <w:r>
        <w:rPr>
          <w:rFonts w:ascii="Times New Roman;Times;serif" w:hAnsi="Times New Roman;Times;serif"/>
          <w:sz w:val="20"/>
        </w:rPr>
        <w:br/>
      </w:r>
      <w:r>
        <w:rPr>
          <w:rFonts w:ascii="Times New Roman;Times;serif" w:hAnsi="Times New Roman;Times;serif"/>
          <w:b/>
          <w:sz w:val="20"/>
        </w:rPr>
        <w:t>YICHANG HOLDING CO., LTD</w:t>
      </w:r>
      <w:r>
        <w:rPr>
          <w:rFonts w:ascii="Times New Roman;Times;serif" w:hAnsi="Times New Roman;Times;serif"/>
          <w:sz w:val="20"/>
        </w:rPr>
        <w:br/>
      </w:r>
      <w:r>
        <w:rPr>
          <w:rFonts w:eastAsia="Microsoft YaHei"/>
          <w:sz w:val="20"/>
        </w:rPr>
        <w:t>地址</w:t>
      </w:r>
      <w:r>
        <w:rPr>
          <w:rFonts w:eastAsia="Times New Roman;Times;serif"/>
          <w:sz w:val="20"/>
        </w:rPr>
        <w:t xml:space="preserve"> </w:t>
      </w:r>
      <w:r>
        <w:rPr>
          <w:rFonts w:ascii="Times New Roman;Times;serif" w:hAnsi="Times New Roman;Times;serif"/>
          <w:sz w:val="20"/>
        </w:rPr>
        <w:t>/ Address: [*]</w:t>
      </w:r>
    </w:p>
    <w:p>
      <w:pPr>
        <w:pStyle w:val="TextBody"/>
        <w:bidi w:val="0"/>
        <w:spacing w:before="0" w:after="60"/>
        <w:ind w:left="0" w:right="0" w:hanging="0"/>
        <w:jc w:val="left"/>
        <w:rPr/>
      </w:pPr>
      <w:r>
        <w:rPr>
          <w:rFonts w:eastAsia="Microsoft YaHei"/>
          <w:b/>
          <w:sz w:val="20"/>
        </w:rPr>
        <w:t>买方</w:t>
      </w:r>
      <w:r>
        <w:rPr>
          <w:rFonts w:eastAsia="Times New Roman;Times;serif"/>
          <w:sz w:val="20"/>
        </w:rPr>
        <w:t xml:space="preserve"> </w:t>
      </w:r>
      <w:r>
        <w:rPr>
          <w:rFonts w:ascii="Times New Roman;Times;serif" w:hAnsi="Times New Roman;Times;serif"/>
          <w:b/>
          <w:sz w:val="20"/>
        </w:rPr>
        <w:t>/ BUYER</w:t>
      </w:r>
    </w:p>
    <w:p>
      <w:pPr>
        <w:pStyle w:val="TextBody"/>
        <w:bidi w:val="0"/>
        <w:spacing w:before="0" w:after="200"/>
        <w:ind w:left="0" w:right="0" w:hanging="0"/>
        <w:jc w:val="left"/>
        <w:rPr/>
      </w:pPr>
      <w:r>
        <w:rPr>
          <w:rFonts w:eastAsia="Microsoft YaHei"/>
          <w:b/>
          <w:sz w:val="20"/>
        </w:rPr>
        <w:t>浩佳国际贸易有限公司</w:t>
      </w:r>
      <w:r>
        <w:rPr>
          <w:rFonts w:ascii="Times New Roman;Times;serif" w:hAnsi="Times New Roman;Times;serif"/>
          <w:sz w:val="20"/>
        </w:rPr>
        <w:br/>
      </w:r>
      <w:r>
        <w:rPr>
          <w:rFonts w:ascii="Times New Roman;Times;serif" w:hAnsi="Times New Roman;Times;serif"/>
          <w:b/>
          <w:sz w:val="20"/>
        </w:rPr>
        <w:t>SUPER INTERNATIONAL TRADING LIMITED</w:t>
      </w:r>
      <w:r>
        <w:rPr>
          <w:rFonts w:ascii="Times New Roman;Times;serif" w:hAnsi="Times New Roman;Times;serif"/>
          <w:sz w:val="20"/>
        </w:rPr>
        <w:br/>
      </w:r>
      <w:r>
        <w:rPr>
          <w:rFonts w:eastAsia="Microsoft YaHei"/>
          <w:sz w:val="20"/>
        </w:rPr>
        <w:t>地址</w:t>
      </w:r>
      <w:r>
        <w:rPr>
          <w:rFonts w:eastAsia="Times New Roman;Times;serif"/>
          <w:sz w:val="20"/>
        </w:rPr>
        <w:t xml:space="preserve"> </w:t>
      </w:r>
      <w:r>
        <w:rPr>
          <w:rFonts w:ascii="Times New Roman;Times;serif" w:hAnsi="Times New Roman;Times;serif"/>
          <w:sz w:val="20"/>
        </w:rPr>
        <w:t>/ Address: Room 1007, 10/F., Heng Ngai Jewelry Centre, 4 Hok Yuen Street East, Hung Hom, Hong Kong, China</w:t>
      </w:r>
    </w:p>
    <w:p>
      <w:pPr>
        <w:pStyle w:val="TextBody"/>
        <w:bidi w:val="0"/>
        <w:spacing w:before="0" w:after="60"/>
        <w:ind w:left="0" w:right="0" w:hanging="0"/>
        <w:jc w:val="left"/>
        <w:rPr>
          <w:rFonts w:eastAsia="Microsoft YaHei"/>
          <w:sz w:val="20"/>
        </w:rPr>
      </w:pPr>
      <w:r>
        <w:rPr>
          <w:rFonts w:eastAsia="Microsoft YaHei"/>
          <w:sz w:val="20"/>
        </w:rPr>
        <w:t>卖方同意出售、买方同意购买本合同所列货物，双方经协商一致，订立本合同并同意遵守以下条款。</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Seller agrees to sell and Buyer agrees to purchase the Goods described herein, subject to the following terms and conditions agreed by the Parties.</w:t>
      </w:r>
    </w:p>
    <w:p>
      <w:pPr>
        <w:pStyle w:val="TextBody"/>
        <w:bidi w:val="0"/>
        <w:spacing w:before="0" w:after="60"/>
        <w:ind w:left="0" w:right="0" w:hanging="0"/>
        <w:jc w:val="left"/>
        <w:rPr/>
      </w:pPr>
      <w:r>
        <w:rPr>
          <w:rFonts w:ascii="Times New Roman;Times;serif" w:hAnsi="Times New Roman;Times;serif"/>
          <w:b/>
          <w:sz w:val="20"/>
        </w:rPr>
        <w:t xml:space="preserve">1. </w:t>
      </w:r>
      <w:r>
        <w:rPr>
          <w:rFonts w:eastAsia="Microsoft YaHei"/>
          <w:b/>
          <w:sz w:val="20"/>
        </w:rPr>
        <w:t>货物</w:t>
      </w:r>
      <w:r>
        <w:rPr>
          <w:rFonts w:eastAsia="Times New Roman;Times;serif"/>
          <w:sz w:val="20"/>
        </w:rPr>
        <w:t xml:space="preserve"> </w:t>
      </w:r>
      <w:r>
        <w:rPr>
          <w:rFonts w:ascii="Times New Roman;Times;serif" w:hAnsi="Times New Roman;Times;serif"/>
          <w:b/>
          <w:sz w:val="20"/>
        </w:rPr>
        <w:t>/ GOODS</w:t>
      </w:r>
    </w:p>
    <w:p>
      <w:pPr>
        <w:pStyle w:val="TextBody"/>
        <w:bidi w:val="0"/>
        <w:spacing w:before="0" w:after="60"/>
        <w:ind w:left="0" w:right="0" w:hanging="0"/>
        <w:jc w:val="left"/>
        <w:rPr/>
      </w:pPr>
      <w:r>
        <w:rPr>
          <w:rFonts w:eastAsia="Microsoft YaHei"/>
          <w:sz w:val="20"/>
        </w:rPr>
        <w:t>本合同项下货物为三台沃尔沃挖掘机，型号为</w:t>
      </w:r>
      <w:r>
        <w:rPr>
          <w:rFonts w:eastAsia="Times New Roman;Times;serif"/>
          <w:sz w:val="20"/>
        </w:rPr>
        <w:t xml:space="preserve"> </w:t>
      </w:r>
      <w:r>
        <w:rPr>
          <w:rFonts w:ascii="Times New Roman;Times;serif" w:hAnsi="Times New Roman;Times;serif"/>
          <w:sz w:val="20"/>
        </w:rPr>
        <w:t>EC500ELHBC4</w:t>
      </w:r>
      <w:r>
        <w:rPr>
          <w:rFonts w:eastAsia="Microsoft YaHei"/>
          <w:sz w:val="20"/>
        </w:rPr>
        <w:t>。每台设备的车架号、发动机号、生产年份及其他识别信息详见本合同附件</w:t>
      </w:r>
      <w:r>
        <w:rPr>
          <w:rFonts w:ascii="Times New Roman;Times;serif" w:hAnsi="Times New Roman;Times;serif"/>
          <w:sz w:val="20"/>
        </w:rPr>
        <w:t>A</w:t>
      </w:r>
      <w:r>
        <w:rPr>
          <w:rFonts w:eastAsia="Microsoft YaHei"/>
          <w:sz w:val="20"/>
        </w:rPr>
        <w:t>。附件</w:t>
      </w:r>
      <w:r>
        <w:rPr>
          <w:rFonts w:ascii="Times New Roman;Times;serif" w:hAnsi="Times New Roman;Times;serif"/>
          <w:sz w:val="20"/>
        </w:rPr>
        <w:t>A</w:t>
      </w:r>
      <w:r>
        <w:rPr>
          <w:rFonts w:eastAsia="Microsoft YaHei"/>
          <w:sz w:val="20"/>
        </w:rPr>
        <w:t>构成本合同不可分割的一部分。</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Goods under this Contract consist of three Volvo excavators, Model EC500ELHBC4. The chassis number, engine number, year of manufacture and other identifying information of each unit are set forth in Annex A, which forms an integral part of this Contract.</w:t>
      </w:r>
    </w:p>
    <w:p>
      <w:pPr>
        <w:pStyle w:val="TextBody"/>
        <w:bidi w:val="0"/>
        <w:spacing w:before="0" w:after="60"/>
        <w:ind w:left="0" w:right="0" w:hanging="0"/>
        <w:jc w:val="left"/>
        <w:rPr/>
      </w:pPr>
      <w:r>
        <w:rPr>
          <w:rFonts w:ascii="Times New Roman;Times;serif" w:hAnsi="Times New Roman;Times;serif"/>
          <w:b/>
          <w:sz w:val="20"/>
        </w:rPr>
        <w:t xml:space="preserve">2. </w:t>
      </w:r>
      <w:r>
        <w:rPr>
          <w:rFonts w:eastAsia="Microsoft YaHei"/>
          <w:b/>
          <w:sz w:val="20"/>
        </w:rPr>
        <w:t>合同总价</w:t>
      </w:r>
      <w:r>
        <w:rPr>
          <w:rFonts w:eastAsia="Times New Roman;Times;serif"/>
          <w:sz w:val="20"/>
        </w:rPr>
        <w:t xml:space="preserve"> </w:t>
      </w:r>
      <w:r>
        <w:rPr>
          <w:rFonts w:ascii="Times New Roman;Times;serif" w:hAnsi="Times New Roman;Times;serif"/>
          <w:b/>
          <w:sz w:val="20"/>
        </w:rPr>
        <w:t>/ CONTRACT PRICE</w:t>
      </w:r>
    </w:p>
    <w:p>
      <w:pPr>
        <w:pStyle w:val="TextBody"/>
        <w:bidi w:val="0"/>
        <w:spacing w:before="0" w:after="60"/>
        <w:ind w:left="0" w:right="0" w:hanging="0"/>
        <w:jc w:val="left"/>
        <w:rPr/>
      </w:pPr>
      <w:r>
        <w:rPr>
          <w:rFonts w:eastAsia="Microsoft YaHei"/>
          <w:sz w:val="20"/>
        </w:rPr>
        <w:t>本合同项下货物总价为</w:t>
      </w:r>
      <w:r>
        <w:rPr>
          <w:rFonts w:ascii="Times New Roman;Times;serif" w:hAnsi="Times New Roman;Times;serif"/>
          <w:sz w:val="20"/>
        </w:rPr>
        <w:t>650,000.00</w:t>
      </w:r>
      <w:r>
        <w:rPr>
          <w:rFonts w:eastAsia="Microsoft YaHei"/>
          <w:sz w:val="20"/>
        </w:rPr>
        <w:t>美元。除双方另有书面约定外，本合同价格不包括货物后续提取、装卸、运输、出口、进口、报关、关税、保险及其他相关费用。</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total Contract Price for the Goods is United States Dollars Six Hundred Fifty Thousand Only (USD 650,000.00). Unless otherwise agreed in writing, the Contract Price does not include costs associated with subsequent collection, loading, transportation, export, import, customs clearance, duties, insurance or other related expenses.</w:t>
      </w:r>
    </w:p>
    <w:p>
      <w:pPr>
        <w:pStyle w:val="TextBody"/>
        <w:bidi w:val="0"/>
        <w:spacing w:before="0" w:after="60"/>
        <w:ind w:left="0" w:right="0" w:hanging="0"/>
        <w:jc w:val="left"/>
        <w:rPr/>
      </w:pPr>
      <w:r>
        <w:rPr>
          <w:rFonts w:ascii="Times New Roman;Times;serif" w:hAnsi="Times New Roman;Times;serif"/>
          <w:b/>
          <w:sz w:val="20"/>
        </w:rPr>
        <w:t xml:space="preserve">3. </w:t>
      </w:r>
      <w:r>
        <w:rPr>
          <w:rFonts w:eastAsia="Microsoft YaHei"/>
          <w:b/>
          <w:sz w:val="20"/>
        </w:rPr>
        <w:t>付款条件</w:t>
      </w:r>
      <w:r>
        <w:rPr>
          <w:rFonts w:eastAsia="Times New Roman;Times;serif"/>
          <w:sz w:val="20"/>
        </w:rPr>
        <w:t xml:space="preserve"> </w:t>
      </w:r>
      <w:r>
        <w:rPr>
          <w:rFonts w:ascii="Times New Roman;Times;serif" w:hAnsi="Times New Roman;Times;serif"/>
          <w:b/>
          <w:sz w:val="20"/>
        </w:rPr>
        <w:t>/ PAYMENT TERMS</w:t>
      </w:r>
    </w:p>
    <w:p>
      <w:pPr>
        <w:pStyle w:val="TextBody"/>
        <w:bidi w:val="0"/>
        <w:spacing w:before="0" w:after="60"/>
        <w:ind w:left="0" w:right="0" w:hanging="0"/>
        <w:jc w:val="left"/>
        <w:rPr/>
      </w:pPr>
      <w:r>
        <w:rPr>
          <w:rFonts w:eastAsia="Microsoft YaHei"/>
          <w:sz w:val="20"/>
        </w:rPr>
        <w:t>买方应通过电汇方式向卖方支付合同总价的</w:t>
      </w:r>
      <w:r>
        <w:rPr>
          <w:rFonts w:ascii="Times New Roman;Times;serif" w:hAnsi="Times New Roman;Times;serif"/>
          <w:sz w:val="20"/>
        </w:rPr>
        <w:t>100%</w:t>
      </w:r>
      <w:r>
        <w:rPr>
          <w:rFonts w:eastAsia="Microsoft YaHei"/>
          <w:sz w:val="20"/>
        </w:rPr>
        <w:t>作为预付款。只有当全部合同价款以不可撤销且可立即使用的资金实际贷记至卖方指定银行账户时，方视为卖方收到付款。银行汇款凭证、付款指令或其他付款证明本身不构成卖方收到付款。</w:t>
      </w:r>
    </w:p>
    <w:p>
      <w:pPr>
        <w:pStyle w:val="TextBody"/>
        <w:bidi w:val="0"/>
        <w:spacing w:before="0" w:after="20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
        <w:ind w:left="0" w:right="0" w:hanging="0"/>
        <w:jc w:val="left"/>
        <w:rPr/>
      </w:pPr>
      <w:r>
        <w:rPr>
          <w:rFonts w:eastAsia="Microsoft YaHei"/>
          <w:sz w:val="20"/>
        </w:rPr>
        <w:t>所有汇款、中间行及其他银行手续费均由买方承担，卖方应净收到完整合同金额</w:t>
      </w:r>
      <w:r>
        <w:rPr>
          <w:rFonts w:ascii="Times New Roman;Times;serif" w:hAnsi="Times New Roman;Times;serif"/>
          <w:sz w:val="20"/>
        </w:rPr>
        <w:t>650,000.00</w:t>
      </w:r>
      <w:r>
        <w:rPr>
          <w:rFonts w:eastAsia="Microsoft YaHei"/>
          <w:sz w:val="20"/>
        </w:rPr>
        <w:t>美元。</w:t>
      </w:r>
    </w:p>
    <w:p>
      <w:pPr>
        <w:pStyle w:val="TextBody"/>
        <w:bidi w:val="0"/>
        <w:spacing w:before="0" w:after="60"/>
        <w:ind w:left="0" w:right="0" w:hanging="0"/>
        <w:jc w:val="left"/>
        <w:rPr/>
      </w:pPr>
      <w:r>
        <w:rPr>
          <w:rFonts w:eastAsia="Microsoft YaHei"/>
          <w:sz w:val="20"/>
        </w:rPr>
        <w:t>卖方银行账户：</w:t>
      </w:r>
      <w:r>
        <w:rPr>
          <w:rFonts w:ascii="Times New Roman;Times;serif" w:hAnsi="Times New Roman;Times;serif"/>
          <w:sz w:val="20"/>
        </w:rPr>
        <w:br/>
        <w:t>Bank: [*]</w:t>
        <w:br/>
        <w:t>SWIFT: [*]</w:t>
        <w:br/>
        <w:t>Bank Code: [*]</w:t>
        <w:br/>
        <w:t>Account Name: [*]</w:t>
        <w:br/>
        <w:t>A/C No.: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Buyer shall pay 100% of the Contract Price in advance by T/T to Seller's designated bank account. Payment shall be deemed received only when the full Contract Price has been irrevocably credited to Seller's designated bank account in immediately available funds. A wire confirmation, payment instruction or other evidence of payment shall not, by itself, constitute receipt of payment by Seller. All remittance, intermediary bank and other banking charges shall be borne by Buyer so that Seller receives the full Contract Price of USD 650,000.00 net of all such charges.</w:t>
      </w:r>
    </w:p>
    <w:p>
      <w:pPr>
        <w:pStyle w:val="TextBody"/>
        <w:bidi w:val="0"/>
        <w:spacing w:before="0" w:after="60"/>
        <w:ind w:left="0" w:right="0" w:hanging="0"/>
        <w:jc w:val="left"/>
        <w:rPr/>
      </w:pPr>
      <w:r>
        <w:rPr>
          <w:rFonts w:ascii="Times New Roman;Times;serif" w:hAnsi="Times New Roman;Times;serif"/>
          <w:b/>
          <w:sz w:val="20"/>
        </w:rPr>
        <w:t xml:space="preserve">4. </w:t>
      </w:r>
      <w:r>
        <w:rPr>
          <w:rFonts w:eastAsia="Microsoft YaHei"/>
          <w:b/>
          <w:sz w:val="20"/>
        </w:rPr>
        <w:t>货物状态及存放</w:t>
      </w:r>
      <w:r>
        <w:rPr>
          <w:rFonts w:eastAsia="Times New Roman;Times;serif"/>
          <w:sz w:val="20"/>
        </w:rPr>
        <w:t xml:space="preserve"> </w:t>
      </w:r>
      <w:r>
        <w:rPr>
          <w:rFonts w:ascii="Times New Roman;Times;serif" w:hAnsi="Times New Roman;Times;serif"/>
          <w:b/>
          <w:sz w:val="20"/>
        </w:rPr>
        <w:t>/ AVAILABILITY AND STORAGE</w:t>
      </w:r>
    </w:p>
    <w:p>
      <w:pPr>
        <w:pStyle w:val="TextBody"/>
        <w:bidi w:val="0"/>
        <w:spacing w:before="0" w:after="60"/>
        <w:ind w:left="0" w:right="0" w:hanging="0"/>
        <w:jc w:val="left"/>
        <w:rPr>
          <w:rFonts w:eastAsia="Microsoft YaHei"/>
          <w:sz w:val="20"/>
        </w:rPr>
      </w:pPr>
      <w:r>
        <w:rPr>
          <w:rFonts w:eastAsia="Microsoft YaHei"/>
          <w:sz w:val="20"/>
        </w:rPr>
        <w:t>本合同项下货物均为现货，并于本合同签署时存放于卖方指定的中国境内仓库。买方付款后，货物可继续存放于卖方指定的仓库。货物继续存放于仓库的事实不影响本合同项下已经完成的交付、货物所有权转移或风险转移。</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Goods are in stock and, as of the date of this Contract, are stored at a warehouse in China designated by Seller. Following Buyer's payment, the Goods may remain stored at the warehouse designated by Seller. Continued physical storage of the Goods at such warehouse shall not affect or postpone completion of delivery or transfer of title or risk under this Contract.</w:t>
      </w:r>
    </w:p>
    <w:p>
      <w:pPr>
        <w:pStyle w:val="TextBody"/>
        <w:bidi w:val="0"/>
        <w:spacing w:before="0" w:after="60"/>
        <w:ind w:left="0" w:right="0" w:hanging="0"/>
        <w:jc w:val="left"/>
        <w:rPr/>
      </w:pPr>
      <w:r>
        <w:rPr>
          <w:rFonts w:ascii="Times New Roman;Times;serif" w:hAnsi="Times New Roman;Times;serif"/>
          <w:b/>
          <w:sz w:val="20"/>
        </w:rPr>
        <w:t xml:space="preserve">5. </w:t>
      </w:r>
      <w:r>
        <w:rPr>
          <w:rFonts w:eastAsia="Microsoft YaHei"/>
          <w:b/>
          <w:sz w:val="20"/>
        </w:rPr>
        <w:t>交货、货权及风险转移</w:t>
      </w:r>
      <w:r>
        <w:rPr>
          <w:rFonts w:eastAsia="Times New Roman;Times;serif"/>
          <w:sz w:val="20"/>
        </w:rPr>
        <w:t xml:space="preserve"> </w:t>
      </w:r>
      <w:r>
        <w:rPr>
          <w:rFonts w:ascii="Times New Roman;Times;serif" w:hAnsi="Times New Roman;Times;serif"/>
          <w:b/>
          <w:sz w:val="20"/>
        </w:rPr>
        <w:t>/ DELIVERY, TITLE AND RISK</w:t>
      </w:r>
    </w:p>
    <w:p>
      <w:pPr>
        <w:pStyle w:val="TextBody"/>
        <w:bidi w:val="0"/>
        <w:spacing w:before="0" w:after="60"/>
        <w:ind w:left="0" w:right="0" w:hanging="0"/>
        <w:jc w:val="left"/>
        <w:rPr>
          <w:rFonts w:eastAsia="Microsoft YaHei"/>
          <w:sz w:val="20"/>
        </w:rPr>
      </w:pPr>
      <w:r>
        <w:rPr>
          <w:rFonts w:eastAsia="Microsoft YaHei"/>
          <w:sz w:val="20"/>
        </w:rPr>
        <w:t>双方明确同意，卖方实际收到全部合同价款时，本合同项下货物即视为完成交付并由买方接受。与此同时，货物的全部所有权以及货物灭失、损坏、盗窃或其他风险均立即转移至买方。货物无需实际搬离仓库、装车、运输或出口，亦无需进行其他形式的实物交付，即可完成上述交付以及货权和风险转移。货权转移后，货物继续存放于原仓库期间，该等货物应视为买方所有并为买方利益继续保管。</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Parties expressly agree that delivery of the Goods shall be deemed completed and accepted by Buyer immediately upon Seller's actual receipt of the full Contract Price. At such time, full legal and beneficial title to the Goods and all risk of loss, damage, theft or other casualty shall immediately pass to Buyer. Physical removal, loading, transportation or export of the Goods, or any other form of physical delivery, shall not be required to complete delivery or the transfer of title and risk. Following transfer of title, any continued storage of the Goods at the existing warehouse shall constitute storage of Buyer's property for and on behalf of Buyer.</w:t>
      </w:r>
    </w:p>
    <w:p>
      <w:pPr>
        <w:pStyle w:val="TextBody"/>
        <w:bidi w:val="0"/>
        <w:spacing w:before="0" w:after="60"/>
        <w:ind w:left="0" w:right="0" w:hanging="0"/>
        <w:jc w:val="left"/>
        <w:rPr/>
      </w:pPr>
      <w:r>
        <w:rPr>
          <w:rFonts w:ascii="Times New Roman;Times;serif" w:hAnsi="Times New Roman;Times;serif"/>
          <w:b/>
          <w:sz w:val="20"/>
        </w:rPr>
        <w:t xml:space="preserve">6. </w:t>
      </w:r>
      <w:r>
        <w:rPr>
          <w:rFonts w:eastAsia="Microsoft YaHei"/>
          <w:b/>
          <w:sz w:val="20"/>
        </w:rPr>
        <w:t>验货及接受</w:t>
      </w:r>
      <w:r>
        <w:rPr>
          <w:rFonts w:eastAsia="Times New Roman;Times;serif"/>
          <w:sz w:val="20"/>
        </w:rPr>
        <w:t xml:space="preserve"> </w:t>
      </w:r>
      <w:r>
        <w:rPr>
          <w:rFonts w:ascii="Times New Roman;Times;serif" w:hAnsi="Times New Roman;Times;serif"/>
          <w:b/>
          <w:sz w:val="20"/>
        </w:rPr>
        <w:t>/ INSPECTION AND ACCEPTANCE</w:t>
      </w:r>
    </w:p>
    <w:p>
      <w:pPr>
        <w:pStyle w:val="TextBody"/>
        <w:bidi w:val="0"/>
        <w:spacing w:before="0" w:after="60"/>
        <w:ind w:left="0" w:right="0" w:hanging="0"/>
        <w:jc w:val="left"/>
        <w:rPr>
          <w:rFonts w:eastAsia="Microsoft YaHei"/>
          <w:sz w:val="20"/>
        </w:rPr>
      </w:pPr>
      <w:r>
        <w:rPr>
          <w:rFonts w:eastAsia="Microsoft YaHei"/>
          <w:sz w:val="20"/>
        </w:rPr>
        <w:t>买方在付款前有权自行或委托独立第三方对货物进行检查、核实和验货，相关费用由买方承担。如买方未进行验货而选择支付合同价款，则视为买方自愿放弃付款前验货权。除双方另有书面约定外，买方支付全部合同价款即构成买方对货物身份、数量及付款时可合理观察到的货物状况的接受。</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Prior to payment, Buyer shall have the right, at its own cost, to inspect and verify the Goods directly or through an independent third-party inspector designated by Buyer. If Buyer elects to make payment without conducting such inspection, Buyer shall be deemed to have voluntarily waived its right to pre-delivery inspection. Except as otherwise expressly agreed in writing, payment of the full Contract Price shall constitute Buyer's acceptance of the identity, quantity and reasonably apparent condition of the Goods at the time of payment.</w:t>
      </w:r>
    </w:p>
    <w:p>
      <w:pPr>
        <w:pStyle w:val="TextBody"/>
        <w:bidi w:val="0"/>
        <w:spacing w:before="0" w:after="60"/>
        <w:ind w:left="0" w:right="0" w:hanging="0"/>
        <w:jc w:val="left"/>
        <w:rPr/>
      </w:pPr>
      <w:r>
        <w:rPr>
          <w:rFonts w:ascii="Times New Roman;Times;serif" w:hAnsi="Times New Roman;Times;serif"/>
          <w:b/>
          <w:sz w:val="20"/>
        </w:rPr>
        <w:t xml:space="preserve">7. </w:t>
      </w:r>
      <w:r>
        <w:rPr>
          <w:rFonts w:eastAsia="Microsoft YaHei"/>
          <w:b/>
          <w:sz w:val="20"/>
        </w:rPr>
        <w:t>货物状况及保证</w:t>
      </w:r>
      <w:r>
        <w:rPr>
          <w:rFonts w:eastAsia="Times New Roman;Times;serif"/>
          <w:sz w:val="20"/>
        </w:rPr>
        <w:t xml:space="preserve"> </w:t>
      </w:r>
      <w:r>
        <w:rPr>
          <w:rFonts w:ascii="Times New Roman;Times;serif" w:hAnsi="Times New Roman;Times;serif"/>
          <w:b/>
          <w:sz w:val="20"/>
        </w:rPr>
        <w:t>/ CONDITION AND WARRANTY</w:t>
      </w:r>
    </w:p>
    <w:p>
      <w:pPr>
        <w:pStyle w:val="TextBody"/>
        <w:bidi w:val="0"/>
        <w:spacing w:before="0" w:after="60"/>
        <w:ind w:left="0" w:right="0" w:hanging="0"/>
        <w:jc w:val="left"/>
        <w:rPr>
          <w:rFonts w:eastAsia="Microsoft YaHei"/>
          <w:sz w:val="20"/>
        </w:rPr>
      </w:pPr>
      <w:r>
        <w:rPr>
          <w:rFonts w:eastAsia="Microsoft YaHei"/>
          <w:sz w:val="20"/>
        </w:rPr>
        <w:t>除本合同另有明确规定外，货物按照付款时的实际状态及所在地出售。在适用法律允许的最大范围内，卖方不对货物作出本合同未明确列明的其他明示或默示保证，包括但不限于对适销性、特定用途适用性或货物未来运行状况的保证。卖方保</w:t>
      </w:r>
    </w:p>
    <w:p>
      <w:pPr>
        <w:pStyle w:val="TextBody"/>
        <w:bidi w:val="0"/>
        <w:spacing w:before="0" w:after="20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
        <w:ind w:left="0" w:right="0" w:hanging="0"/>
        <w:jc w:val="left"/>
        <w:rPr>
          <w:rFonts w:eastAsia="Microsoft YaHei"/>
          <w:sz w:val="20"/>
        </w:rPr>
      </w:pPr>
      <w:r>
        <w:rPr>
          <w:rFonts w:eastAsia="Microsoft YaHei"/>
          <w:sz w:val="20"/>
        </w:rPr>
        <w:t>证，在货物所有权转移时，卖方拥有出售及转让货物的合法权利；除已向买方书面披露的情况外，货物不存在卖方设立或知悉的未披露抵押、质押或其他权利负担。</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Except as expressly provided otherwise in this Contract, the Goods are sold on an AS IS, WHERE IS basis in their condition existing at the time of Buyer's payment. To the fullest extent permitted by applicable law, Seller makes no representation or warranty, express or implied, not expressly stated in this Contract, including any warranty of merchantability, fitness for a particular purpose or future operating condition. Seller represents that, at the time title transfers, Seller has lawful authority to sell and transfer the Goods and, except as disclosed to Buyer in writing, the Goods are free from undisclosed liens, pledges or other encumbrances created by or known to Seller.</w:t>
      </w:r>
    </w:p>
    <w:p>
      <w:pPr>
        <w:pStyle w:val="TextBody"/>
        <w:bidi w:val="0"/>
        <w:spacing w:before="0" w:after="60"/>
        <w:ind w:left="0" w:right="0" w:hanging="0"/>
        <w:jc w:val="left"/>
        <w:rPr/>
      </w:pPr>
      <w:r>
        <w:rPr>
          <w:rFonts w:ascii="Times New Roman;Times;serif" w:hAnsi="Times New Roman;Times;serif"/>
          <w:b/>
          <w:sz w:val="20"/>
        </w:rPr>
        <w:t xml:space="preserve">8. </w:t>
      </w:r>
      <w:r>
        <w:rPr>
          <w:rFonts w:eastAsia="Microsoft YaHei"/>
          <w:b/>
          <w:sz w:val="20"/>
        </w:rPr>
        <w:t>仓储</w:t>
      </w:r>
      <w:r>
        <w:rPr>
          <w:rFonts w:eastAsia="Times New Roman;Times;serif"/>
          <w:sz w:val="20"/>
        </w:rPr>
        <w:t xml:space="preserve"> </w:t>
      </w:r>
      <w:r>
        <w:rPr>
          <w:rFonts w:ascii="Times New Roman;Times;serif" w:hAnsi="Times New Roman;Times;serif"/>
          <w:b/>
          <w:sz w:val="20"/>
        </w:rPr>
        <w:t>/ STORAGE</w:t>
      </w:r>
    </w:p>
    <w:p>
      <w:pPr>
        <w:pStyle w:val="TextBody"/>
        <w:bidi w:val="0"/>
        <w:spacing w:before="0" w:after="60"/>
        <w:ind w:left="0" w:right="0" w:hanging="0"/>
        <w:jc w:val="left"/>
        <w:rPr/>
      </w:pPr>
      <w:r>
        <w:rPr>
          <w:rFonts w:eastAsia="Microsoft YaHei"/>
          <w:sz w:val="20"/>
        </w:rPr>
        <w:t>卖方收到全部合同价款后，买方享有三十个自然日的免费仓储期。自第</w:t>
      </w:r>
      <w:r>
        <w:rPr>
          <w:rFonts w:ascii="Times New Roman;Times;serif" w:hAnsi="Times New Roman;Times;serif"/>
          <w:sz w:val="20"/>
        </w:rPr>
        <w:t>31</w:t>
      </w:r>
      <w:r>
        <w:rPr>
          <w:rFonts w:eastAsia="Microsoft YaHei"/>
          <w:sz w:val="20"/>
        </w:rPr>
        <w:t>个自然日起，对于尚未从仓库提走的每台货物，每个自然日收取</w:t>
      </w:r>
      <w:r>
        <w:rPr>
          <w:rFonts w:ascii="Times New Roman;Times;serif" w:hAnsi="Times New Roman;Times;serif"/>
          <w:sz w:val="20"/>
        </w:rPr>
        <w:t>20.00</w:t>
      </w:r>
      <w:r>
        <w:rPr>
          <w:rFonts w:eastAsia="Microsoft YaHei"/>
          <w:sz w:val="20"/>
        </w:rPr>
        <w:t>美元的仓储费用。每台货物的仓储费用计算至该台货物实际从仓库提走之日止。所有已产生但尚未支付的仓储费用应在相关货物提取前全部结清。在适用法律允许的范围内，卖方和</w:t>
      </w:r>
      <w:r>
        <w:rPr>
          <w:rFonts w:ascii="Times New Roman;Times;serif" w:hAnsi="Times New Roman;Times;serif"/>
          <w:sz w:val="20"/>
        </w:rPr>
        <w:t>/</w:t>
      </w:r>
      <w:r>
        <w:rPr>
          <w:rFonts w:eastAsia="Microsoft YaHei"/>
          <w:sz w:val="20"/>
        </w:rPr>
        <w:t>或仓库有权在相关仓储费用全部结清前暂缓放货。收取仓储费用或货物继续存放于仓库均不影响此前已经完成的交付、货权转移或风险转移。</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Following Seller's receipt of the full Contract Price, Buyer shall be entitled to thirty (30) calendar days of free storage. Beginning on the thirty-first (31st) calendar day, storage charges shall accrue at the rate of USD 20.00 per unit per calendar day for each unit remaining at the warehouse. Storage charges for each unit shall continue to accrue until that unit is physically removed from the warehouse. All accrued and unpaid storage charges shall be paid in full prior to release of the applicable Goods. To the extent permitted by applicable law, Seller and/or the warehouse may withhold release of the applicable Goods until all related storage charges have been paid in full. Neither the charging of storage fees nor continued storage of the Goods shall affect or reverse the prior completion of delivery or transfer of title or risk.</w:t>
      </w:r>
    </w:p>
    <w:p>
      <w:pPr>
        <w:pStyle w:val="TextBody"/>
        <w:bidi w:val="0"/>
        <w:spacing w:before="0" w:after="60"/>
        <w:ind w:left="0" w:right="0" w:hanging="0"/>
        <w:jc w:val="left"/>
        <w:rPr/>
      </w:pPr>
      <w:r>
        <w:rPr>
          <w:rFonts w:ascii="Times New Roman;Times;serif" w:hAnsi="Times New Roman;Times;serif"/>
          <w:b/>
          <w:sz w:val="20"/>
        </w:rPr>
        <w:t xml:space="preserve">9. </w:t>
      </w:r>
      <w:r>
        <w:rPr>
          <w:rFonts w:eastAsia="Microsoft YaHei"/>
          <w:b/>
          <w:sz w:val="20"/>
        </w:rPr>
        <w:t>仓储期间保险及风险</w:t>
      </w:r>
      <w:r>
        <w:rPr>
          <w:rFonts w:eastAsia="Times New Roman;Times;serif"/>
          <w:sz w:val="20"/>
        </w:rPr>
        <w:t xml:space="preserve"> </w:t>
      </w:r>
      <w:r>
        <w:rPr>
          <w:rFonts w:ascii="Times New Roman;Times;serif" w:hAnsi="Times New Roman;Times;serif"/>
          <w:b/>
          <w:sz w:val="20"/>
        </w:rPr>
        <w:t>/ INSURANCE DURING STORAGE</w:t>
      </w:r>
    </w:p>
    <w:p>
      <w:pPr>
        <w:pStyle w:val="TextBody"/>
        <w:bidi w:val="0"/>
        <w:spacing w:before="0" w:after="60"/>
        <w:ind w:left="0" w:right="0" w:hanging="0"/>
        <w:jc w:val="left"/>
        <w:rPr>
          <w:rFonts w:eastAsia="Microsoft YaHei"/>
          <w:sz w:val="20"/>
        </w:rPr>
      </w:pPr>
      <w:r>
        <w:rPr>
          <w:rFonts w:eastAsia="Microsoft YaHei"/>
          <w:sz w:val="20"/>
        </w:rPr>
        <w:t>货物的风险自卖方收到全部合同价款之时起由买方承担。在货物继续存放于仓库期间，如仓库所维持的任何保险实际适用于本合同项下货物，则买方有权享有就其货物实际获得的保险赔偿利益，但任何保险保障及赔偿均受相关保险单的条款、条件、除外责任、免赔额及赔偿限额约束。卖方不保证仓库保险对任何特定损失提供保险保障，亦不保证保险公司就任何特定损失进行赔付。风险转移后，买方应自行决定并负责购买其认为必要的额外保险。除因卖方欺诈、故意不当行为或重大过失直接造成的损失外，卖方不对风险转移后发生的货物灭失、损坏、盗窃或其他损失承担责任。</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Risk relating to the Goods shall be borne by Buyer from the time Seller receives the full Contract Price. To the extent that the Goods are covered under any insurance maintained by the warehouse during continued storage, Buyer shall be entitled to the benefit of any insurance proceeds actually recoverable in respect of the Goods, subject to the terms, conditions, exclusions, deductibles and limits of the applicable insurance policy. Seller does not warrant that warehouse insurance will cover any particular loss or that any insurer will make payment in respect of any particular claim. Following transfer of risk, Buyer shall be solely responsible for determining whether to obtain and for obtaining any additional insurance it considers necessary. Seller shall not be liable for loss of, damage to or theft of the Goods occurring after transfer of risk, except to the extent directly caused by Seller's fraud, willful misconduct or gross negligence.</w:t>
      </w:r>
    </w:p>
    <w:p>
      <w:pPr>
        <w:pStyle w:val="TextBody"/>
        <w:bidi w:val="0"/>
        <w:spacing w:before="0" w:after="60"/>
        <w:ind w:left="0" w:right="0" w:hanging="0"/>
        <w:jc w:val="left"/>
        <w:rPr/>
      </w:pPr>
      <w:r>
        <w:rPr>
          <w:rFonts w:ascii="Times New Roman;Times;serif" w:hAnsi="Times New Roman;Times;serif"/>
          <w:b/>
          <w:sz w:val="20"/>
        </w:rPr>
        <w:t xml:space="preserve">10. </w:t>
      </w:r>
      <w:r>
        <w:rPr>
          <w:rFonts w:eastAsia="Microsoft YaHei"/>
          <w:b/>
          <w:sz w:val="20"/>
        </w:rPr>
        <w:t>提货及后续运输</w:t>
      </w:r>
      <w:r>
        <w:rPr>
          <w:rFonts w:eastAsia="Times New Roman;Times;serif"/>
          <w:sz w:val="20"/>
        </w:rPr>
        <w:t xml:space="preserve"> </w:t>
      </w:r>
      <w:r>
        <w:rPr>
          <w:rFonts w:ascii="Times New Roman;Times;serif" w:hAnsi="Times New Roman;Times;serif"/>
          <w:b/>
          <w:sz w:val="20"/>
        </w:rPr>
        <w:t>/ COLLECTION AND SUBSEQUENT TRANSPORTATION</w:t>
      </w:r>
    </w:p>
    <w:p>
      <w:pPr>
        <w:pStyle w:val="TextBody"/>
        <w:bidi w:val="0"/>
        <w:spacing w:before="0" w:after="60"/>
        <w:ind w:left="0" w:right="0" w:hanging="0"/>
        <w:jc w:val="left"/>
        <w:rPr>
          <w:rFonts w:eastAsia="Microsoft YaHei"/>
          <w:sz w:val="20"/>
        </w:rPr>
      </w:pPr>
      <w:r>
        <w:rPr>
          <w:rFonts w:eastAsia="Microsoft YaHei"/>
          <w:sz w:val="20"/>
        </w:rPr>
        <w:t>货权及风险转移后，买方有权自行或指定第三方安排货物提取。除双方另有书面约定外，买方负责货物后续的提货、装卸、运输、出口、进口、报关、保险以及由此产生的所有费用、税费和风险。卖方应在合理范围内配合买方或其指定人员办理货物提取，但买方及其指定人员、承运人应遵守仓库合理的安全、预约及操作要求。</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Following transfer of title and risk, Buyer may arrange collection of the Goods itself or through a third party designated by Buyer. Unless otherwise agreed in writing, Buyer shall be responsible for subsequent collection, loading, transportation, export, import, customs clearance and insurance of the Goods and all costs, taxes, duties and risks associated therewith. Seller shall reasonably cooperate in facilitating collection of the Goods by Buyer or Buyer's designated party, subject to the warehouse's reasonable safety, appointment and operating requirements.</w:t>
      </w:r>
    </w:p>
    <w:p>
      <w:pPr>
        <w:pStyle w:val="TextBody"/>
        <w:bidi w:val="0"/>
        <w:spacing w:before="0" w:after="20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
        <w:ind w:left="0" w:right="0" w:hanging="0"/>
        <w:jc w:val="left"/>
        <w:rPr/>
      </w:pPr>
      <w:r>
        <w:rPr>
          <w:rFonts w:ascii="Times New Roman;Times;serif" w:hAnsi="Times New Roman;Times;serif"/>
          <w:b/>
          <w:sz w:val="20"/>
        </w:rPr>
        <w:t xml:space="preserve">11. </w:t>
      </w:r>
      <w:r>
        <w:rPr>
          <w:rFonts w:eastAsia="Microsoft YaHei"/>
          <w:b/>
          <w:sz w:val="20"/>
        </w:rPr>
        <w:t>买方未付款</w:t>
      </w:r>
      <w:r>
        <w:rPr>
          <w:rFonts w:eastAsia="Times New Roman;Times;serif"/>
          <w:sz w:val="20"/>
        </w:rPr>
        <w:t xml:space="preserve"> </w:t>
      </w:r>
      <w:r>
        <w:rPr>
          <w:rFonts w:ascii="Times New Roman;Times;serif" w:hAnsi="Times New Roman;Times;serif"/>
          <w:b/>
          <w:sz w:val="20"/>
        </w:rPr>
        <w:t>/ FAILURE BY BUYER TO PAY</w:t>
      </w:r>
    </w:p>
    <w:p>
      <w:pPr>
        <w:pStyle w:val="TextBody"/>
        <w:bidi w:val="0"/>
        <w:spacing w:before="0" w:after="60"/>
        <w:ind w:left="0" w:right="0" w:hanging="0"/>
        <w:jc w:val="left"/>
        <w:rPr>
          <w:rFonts w:eastAsia="Microsoft YaHei"/>
          <w:sz w:val="20"/>
        </w:rPr>
      </w:pPr>
      <w:r>
        <w:rPr>
          <w:rFonts w:eastAsia="Microsoft YaHei"/>
          <w:sz w:val="20"/>
        </w:rPr>
        <w:t>除卖方另行书面同意为买方保留货物外，在卖方实际收到全部合同价款前，货物不视为已为买方保留，货物所有权及风险亦不转移至买方。如买方未按照双方约定完成付款，卖方有权暂停或终止本交易，并有权出售或以其他方式处置货物，且不因此对买方承担责任，但双方另有书面约定的除外。</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Unless Seller expressly agrees otherwise in writing, the Goods shall not be deemed reserved for Buyer, and no title to or risk in the Goods shall pass to Buyer, until Seller actually receives the full Contract Price. If Buyer fails to make payment as agreed, Seller may suspend or terminate the transaction and may sell or otherwise dispose of the Goods without liability to Buyer, except as otherwise agreed in writing.</w:t>
      </w:r>
    </w:p>
    <w:p>
      <w:pPr>
        <w:pStyle w:val="TextBody"/>
        <w:bidi w:val="0"/>
        <w:spacing w:before="0" w:after="60"/>
        <w:ind w:left="0" w:right="0" w:hanging="0"/>
        <w:jc w:val="left"/>
        <w:rPr/>
      </w:pPr>
      <w:r>
        <w:rPr>
          <w:rFonts w:ascii="Times New Roman;Times;serif" w:hAnsi="Times New Roman;Times;serif"/>
          <w:b/>
          <w:sz w:val="20"/>
        </w:rPr>
        <w:t xml:space="preserve">12. </w:t>
      </w:r>
      <w:r>
        <w:rPr>
          <w:rFonts w:eastAsia="Microsoft YaHei"/>
          <w:b/>
          <w:sz w:val="20"/>
        </w:rPr>
        <w:t>卖方收款后的义务</w:t>
      </w:r>
      <w:r>
        <w:rPr>
          <w:rFonts w:eastAsia="Times New Roman;Times;serif"/>
          <w:sz w:val="20"/>
        </w:rPr>
        <w:t xml:space="preserve"> </w:t>
      </w:r>
      <w:r>
        <w:rPr>
          <w:rFonts w:ascii="Times New Roman;Times;serif" w:hAnsi="Times New Roman;Times;serif"/>
          <w:b/>
          <w:sz w:val="20"/>
        </w:rPr>
        <w:t>/ SELLER'S OBLIGATIONS AFTER PAYMENT</w:t>
      </w:r>
    </w:p>
    <w:p>
      <w:pPr>
        <w:pStyle w:val="TextBody"/>
        <w:bidi w:val="0"/>
        <w:spacing w:before="0" w:after="60"/>
        <w:ind w:left="0" w:right="0" w:hanging="0"/>
        <w:jc w:val="left"/>
        <w:rPr>
          <w:rFonts w:eastAsia="Microsoft YaHei"/>
          <w:sz w:val="20"/>
        </w:rPr>
      </w:pPr>
      <w:r>
        <w:rPr>
          <w:rFonts w:eastAsia="Microsoft YaHei"/>
          <w:sz w:val="20"/>
        </w:rPr>
        <w:t>卖方收到全部合同价款并完成货权转移后，不得再次出售、转让、质押或以其他方式处分已经属于买方的货物。卖方应在合理范围内配合买方进行货物识别、提取及后续运输安排。</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Following Seller's receipt of the full Contract Price and transfer of title, Seller shall not resell, transfer, pledge or otherwise dispose of the Goods owned by Buyer. Seller shall reasonably cooperate with Buyer in identifying and collecting the Goods and arranging their subsequent transportation.</w:t>
      </w:r>
    </w:p>
    <w:p>
      <w:pPr>
        <w:pStyle w:val="TextBody"/>
        <w:bidi w:val="0"/>
        <w:spacing w:before="0" w:after="60"/>
        <w:ind w:left="0" w:right="0" w:hanging="0"/>
        <w:jc w:val="left"/>
        <w:rPr/>
      </w:pPr>
      <w:r>
        <w:rPr>
          <w:rFonts w:ascii="Times New Roman;Times;serif" w:hAnsi="Times New Roman;Times;serif"/>
          <w:b/>
          <w:sz w:val="20"/>
        </w:rPr>
        <w:t xml:space="preserve">13. </w:t>
      </w:r>
      <w:r>
        <w:rPr>
          <w:rFonts w:eastAsia="Microsoft YaHei"/>
          <w:b/>
          <w:sz w:val="20"/>
        </w:rPr>
        <w:t>不可抗力</w:t>
      </w:r>
      <w:r>
        <w:rPr>
          <w:rFonts w:eastAsia="Times New Roman;Times;serif"/>
          <w:sz w:val="20"/>
        </w:rPr>
        <w:t xml:space="preserve"> </w:t>
      </w:r>
      <w:r>
        <w:rPr>
          <w:rFonts w:ascii="Times New Roman;Times;serif" w:hAnsi="Times New Roman;Times;serif"/>
          <w:b/>
          <w:sz w:val="20"/>
        </w:rPr>
        <w:t>/ FORCE MAJEURE</w:t>
      </w:r>
    </w:p>
    <w:p>
      <w:pPr>
        <w:pStyle w:val="TextBody"/>
        <w:bidi w:val="0"/>
        <w:spacing w:before="0" w:after="60"/>
        <w:ind w:left="0" w:right="0" w:hanging="0"/>
        <w:jc w:val="left"/>
        <w:rPr>
          <w:rFonts w:eastAsia="Microsoft YaHei"/>
          <w:sz w:val="20"/>
        </w:rPr>
      </w:pPr>
      <w:r>
        <w:rPr>
          <w:rFonts w:eastAsia="Microsoft YaHei"/>
          <w:sz w:val="20"/>
        </w:rPr>
        <w:t>任何一方因其合理控制范围以外的事件，包括但不限于自然灾害、火灾、洪水、战争、政府行为、禁运、罢工、重大交通中断或其他无法合理预见或避免的事件而无法或延迟履行本合同义务的，在受影响范围内不承担违约责任。任何不可抗力事件均不影响或撤销该事件发生前已经完成的货物所有权或风险转移。</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Neither Party shall be liable for any failure or delay in performing its obligations to the extent caused by events beyond its reasonable control, including natural disasters, fire, flood, war, governmental action, embargo, strikes, major transportation disruptions or other events that could not reasonably have been foreseen or avoided. No force majeure event shall affect or reverse any transfer of title or risk completed prior to such event.</w:t>
      </w:r>
    </w:p>
    <w:p>
      <w:pPr>
        <w:pStyle w:val="TextBody"/>
        <w:bidi w:val="0"/>
        <w:spacing w:before="0" w:after="60"/>
        <w:ind w:left="0" w:right="0" w:hanging="0"/>
        <w:jc w:val="left"/>
        <w:rPr/>
      </w:pPr>
      <w:r>
        <w:rPr>
          <w:rFonts w:ascii="Times New Roman;Times;serif" w:hAnsi="Times New Roman;Times;serif"/>
          <w:b/>
          <w:sz w:val="20"/>
        </w:rPr>
        <w:t xml:space="preserve">14. </w:t>
      </w:r>
      <w:r>
        <w:rPr>
          <w:rFonts w:eastAsia="Microsoft YaHei"/>
          <w:b/>
          <w:sz w:val="20"/>
        </w:rPr>
        <w:t>适用法律</w:t>
      </w:r>
      <w:r>
        <w:rPr>
          <w:rFonts w:eastAsia="Times New Roman;Times;serif"/>
          <w:sz w:val="20"/>
        </w:rPr>
        <w:t xml:space="preserve"> </w:t>
      </w:r>
      <w:r>
        <w:rPr>
          <w:rFonts w:ascii="Times New Roman;Times;serif" w:hAnsi="Times New Roman;Times;serif"/>
          <w:b/>
          <w:sz w:val="20"/>
        </w:rPr>
        <w:t>/ GOVERNING LAW</w:t>
      </w:r>
    </w:p>
    <w:p>
      <w:pPr>
        <w:pStyle w:val="TextBody"/>
        <w:bidi w:val="0"/>
        <w:spacing w:before="0" w:after="60"/>
        <w:ind w:left="0" w:right="0" w:hanging="0"/>
        <w:jc w:val="left"/>
        <w:rPr>
          <w:rFonts w:eastAsia="Microsoft YaHei"/>
          <w:sz w:val="20"/>
        </w:rPr>
      </w:pPr>
      <w:r>
        <w:rPr>
          <w:rFonts w:eastAsia="Microsoft YaHei"/>
          <w:sz w:val="20"/>
        </w:rPr>
        <w:t>本合同及因本合同引起或与本合同有关的任何非合同义务均受香港特别行政区法律管辖并按其解释。</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This Contract and any non-contractual obligations arising out of or in connection with it shall be governed by and construed in accordance with the laws of the Hong Kong Special Administrative Region.</w:t>
      </w:r>
    </w:p>
    <w:p>
      <w:pPr>
        <w:pStyle w:val="TextBody"/>
        <w:bidi w:val="0"/>
        <w:spacing w:before="0" w:after="60"/>
        <w:ind w:left="0" w:right="0" w:hanging="0"/>
        <w:jc w:val="left"/>
        <w:rPr/>
      </w:pPr>
      <w:r>
        <w:rPr>
          <w:rFonts w:ascii="Times New Roman;Times;serif" w:hAnsi="Times New Roman;Times;serif"/>
          <w:b/>
          <w:sz w:val="20"/>
        </w:rPr>
        <w:t xml:space="preserve">15. </w:t>
      </w:r>
      <w:r>
        <w:rPr>
          <w:rFonts w:eastAsia="Microsoft YaHei"/>
          <w:b/>
          <w:sz w:val="20"/>
        </w:rPr>
        <w:t>争议解决</w:t>
      </w:r>
      <w:r>
        <w:rPr>
          <w:rFonts w:eastAsia="Times New Roman;Times;serif"/>
          <w:sz w:val="20"/>
        </w:rPr>
        <w:t xml:space="preserve"> </w:t>
      </w:r>
      <w:r>
        <w:rPr>
          <w:rFonts w:ascii="Times New Roman;Times;serif" w:hAnsi="Times New Roman;Times;serif"/>
          <w:b/>
          <w:sz w:val="20"/>
        </w:rPr>
        <w:t>/ DISPUTE RESOLUTION</w:t>
      </w:r>
    </w:p>
    <w:p>
      <w:pPr>
        <w:pStyle w:val="TextBody"/>
        <w:bidi w:val="0"/>
        <w:spacing w:before="0" w:after="60"/>
        <w:ind w:left="0" w:right="0" w:hanging="0"/>
        <w:jc w:val="left"/>
        <w:rPr>
          <w:rFonts w:eastAsia="Microsoft YaHei"/>
          <w:sz w:val="20"/>
        </w:rPr>
      </w:pPr>
      <w:r>
        <w:rPr>
          <w:rFonts w:eastAsia="Microsoft YaHei"/>
          <w:sz w:val="20"/>
        </w:rPr>
        <w:t>因本合同引起或与本合同有关的任何争议，包括有关本合同的存在、效力、解释、履行、违反或终止的争议，双方应首先通过友好协商解决。如双方无法通过协商解决争议，该争议应提交香港国际仲裁中心，按照提交仲裁通知时有效的香港国际仲裁中心机构仲裁规则进行最终仲裁。仲裁地为香港，仲裁语言为英文。仲裁裁决为终局，对双方均具有约束力。</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Any dispute, controversy, difference or claim arising out of or relating to this Contract, including its existence, validity, interpretation, performance, breach or termination, shall first be resolved through good-faith negotiations between the Parties. If the dispute cannot be resolved through negotiation, it shall be referred to and finally resolved by arbitration administered by the Hong Kong International Arbitration Centre under the HKIAC Administered Arbitration Rules in force when the Notice of Arbitration is submitted. The seat of arbitration shall be Hong Kong, the language of arbitration shall be English, and the arbitral award shall be final and binding upon both Parties.</w:t>
      </w:r>
    </w:p>
    <w:p>
      <w:pPr>
        <w:pStyle w:val="TextBody"/>
        <w:bidi w:val="0"/>
        <w:spacing w:before="0" w:after="60"/>
        <w:ind w:left="0" w:right="0" w:hanging="0"/>
        <w:jc w:val="left"/>
        <w:rPr/>
      </w:pPr>
      <w:r>
        <w:rPr>
          <w:rFonts w:ascii="Times New Roman;Times;serif" w:hAnsi="Times New Roman;Times;serif"/>
          <w:b/>
          <w:sz w:val="20"/>
        </w:rPr>
        <w:t xml:space="preserve">16. </w:t>
      </w:r>
      <w:r>
        <w:rPr>
          <w:rFonts w:eastAsia="Microsoft YaHei"/>
          <w:b/>
          <w:sz w:val="20"/>
        </w:rPr>
        <w:t>完整协议及修改</w:t>
      </w:r>
      <w:r>
        <w:rPr>
          <w:rFonts w:eastAsia="Times New Roman;Times;serif"/>
          <w:sz w:val="20"/>
        </w:rPr>
        <w:t xml:space="preserve"> </w:t>
      </w:r>
      <w:r>
        <w:rPr>
          <w:rFonts w:ascii="Times New Roman;Times;serif" w:hAnsi="Times New Roman;Times;serif"/>
          <w:b/>
          <w:sz w:val="20"/>
        </w:rPr>
        <w:t>/ ENTIRE AGREEMENT AND AMENDMENTS</w:t>
      </w:r>
    </w:p>
    <w:p>
      <w:pPr>
        <w:pStyle w:val="TextBody"/>
        <w:bidi w:val="0"/>
        <w:spacing w:before="0" w:after="60"/>
        <w:ind w:left="0" w:right="0" w:hanging="0"/>
        <w:jc w:val="left"/>
        <w:rPr>
          <w:rFonts w:eastAsia="Microsoft YaHei"/>
          <w:sz w:val="20"/>
        </w:rPr>
      </w:pPr>
      <w:r>
        <w:rPr>
          <w:rFonts w:eastAsia="Microsoft YaHei"/>
          <w:sz w:val="20"/>
        </w:rPr>
        <w:t>本合同及其附件构成双方就本合同项下交易达成的完整协议，并取代双方此前就同一事项作出的所有口头或书面沟通、报价或安排。对本合同的任何修改、补充或豁免均应以书面形式作出并经双方授权代表确认。</w:t>
      </w:r>
    </w:p>
    <w:p>
      <w:pPr>
        <w:pStyle w:val="TextBody"/>
        <w:bidi w:val="0"/>
        <w:spacing w:before="0" w:after="20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This Contract and its Annexes constitute the entire agreement between the Parties concerning the transaction and supersede all prior oral or written communications, quotations or arrangements concerning the same subject matter. Any amendment, supplement or waiver of this Contract shall be made in writing and confirmed by authorized representatives of both Parties.</w:t>
      </w:r>
    </w:p>
    <w:p>
      <w:pPr>
        <w:pStyle w:val="TextBody"/>
        <w:bidi w:val="0"/>
        <w:spacing w:before="0" w:after="60"/>
        <w:ind w:left="0" w:right="0" w:hanging="0"/>
        <w:jc w:val="left"/>
        <w:rPr/>
      </w:pPr>
      <w:r>
        <w:rPr>
          <w:rFonts w:ascii="Times New Roman;Times;serif" w:hAnsi="Times New Roman;Times;serif"/>
          <w:b/>
          <w:sz w:val="20"/>
        </w:rPr>
        <w:t xml:space="preserve">17. </w:t>
      </w:r>
      <w:r>
        <w:rPr>
          <w:rFonts w:eastAsia="Microsoft YaHei"/>
          <w:b/>
          <w:sz w:val="20"/>
        </w:rPr>
        <w:t>合同文本及效力</w:t>
      </w:r>
      <w:r>
        <w:rPr>
          <w:rFonts w:eastAsia="Times New Roman;Times;serif"/>
          <w:sz w:val="20"/>
        </w:rPr>
        <w:t xml:space="preserve"> </w:t>
      </w:r>
      <w:r>
        <w:rPr>
          <w:rFonts w:ascii="Times New Roman;Times;serif" w:hAnsi="Times New Roman;Times;serif"/>
          <w:b/>
          <w:sz w:val="20"/>
        </w:rPr>
        <w:t>/ LANGUAGE AND EFFECTIVENESS</w:t>
      </w:r>
    </w:p>
    <w:p>
      <w:pPr>
        <w:pStyle w:val="TextBody"/>
        <w:bidi w:val="0"/>
        <w:spacing w:before="0" w:after="60"/>
        <w:ind w:left="0" w:right="0" w:hanging="0"/>
        <w:jc w:val="left"/>
        <w:rPr>
          <w:rFonts w:eastAsia="Microsoft YaHei"/>
          <w:sz w:val="20"/>
        </w:rPr>
      </w:pPr>
      <w:r>
        <w:rPr>
          <w:rFonts w:eastAsia="Microsoft YaHei"/>
          <w:sz w:val="20"/>
        </w:rPr>
        <w:t>本合同以中文及英文书就。如两种文本之间存在任何不一致或解释冲突，以英文文本为准。本合同可采用电子签名、扫描件或电子方式交换的签署页签署，各签署文本均具有与原件相同的效力。</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This Contract is executed in Chinese and English. In the event of any inconsistency or conflict in interpretation between the two versions, the English version shall prevail. This Contract may be executed by electronic signature, scanned copy or electronically exchanged signature pages, each of which shall have the same effect as an original.</w:t>
      </w:r>
    </w:p>
    <w:p>
      <w:pPr>
        <w:pStyle w:val="TextBody"/>
        <w:bidi w:val="0"/>
        <w:spacing w:before="0" w:after="60"/>
        <w:ind w:left="0" w:right="0" w:hanging="0"/>
        <w:jc w:val="left"/>
        <w:rPr/>
      </w:pPr>
      <w:r>
        <w:rPr>
          <w:rFonts w:ascii="Times New Roman;Times;serif" w:hAnsi="Times New Roman;Times;serif"/>
          <w:b/>
          <w:sz w:val="20"/>
        </w:rPr>
        <w:t xml:space="preserve">18. </w:t>
      </w:r>
      <w:r>
        <w:rPr>
          <w:rFonts w:eastAsia="Microsoft YaHei"/>
          <w:b/>
          <w:sz w:val="20"/>
        </w:rPr>
        <w:t>签署</w:t>
      </w:r>
      <w:r>
        <w:rPr>
          <w:rFonts w:eastAsia="Times New Roman;Times;serif"/>
          <w:sz w:val="20"/>
        </w:rPr>
        <w:t xml:space="preserve"> </w:t>
      </w:r>
      <w:r>
        <w:rPr>
          <w:rFonts w:ascii="Times New Roman;Times;serif" w:hAnsi="Times New Roman;Times;serif"/>
          <w:b/>
          <w:sz w:val="20"/>
        </w:rPr>
        <w:t>/ SIGNATURES</w:t>
      </w:r>
    </w:p>
    <w:p>
      <w:pPr>
        <w:pStyle w:val="TextBody"/>
        <w:bidi w:val="0"/>
        <w:spacing w:before="0" w:after="60"/>
        <w:ind w:left="0" w:right="0" w:hanging="0"/>
        <w:jc w:val="left"/>
        <w:rPr>
          <w:rFonts w:eastAsia="Microsoft YaHei"/>
          <w:sz w:val="20"/>
        </w:rPr>
      </w:pPr>
      <w:r>
        <w:rPr>
          <w:rFonts w:eastAsia="Microsoft YaHei"/>
          <w:sz w:val="20"/>
        </w:rPr>
        <w:t>双方授权代表于本合同首页所载日期签署本合同。</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authorized representatives of the Parties have executed this Contract as of the date first written above.</w:t>
      </w:r>
    </w:p>
    <w:tbl>
      <w:tblPr>
        <w:tblW w:w="8602" w:type="dxa"/>
        <w:jc w:val="center"/>
        <w:tblInd w:w="0" w:type="dxa"/>
        <w:tblLayout w:type="fixed"/>
        <w:tblCellMar>
          <w:top w:w="0" w:type="dxa"/>
          <w:left w:w="0" w:type="dxa"/>
          <w:bottom w:w="0" w:type="dxa"/>
          <w:right w:w="0" w:type="dxa"/>
        </w:tblCellMar>
      </w:tblPr>
      <w:tblGrid>
        <w:gridCol w:w="2716"/>
        <w:gridCol w:w="109"/>
        <w:gridCol w:w="4036"/>
        <w:gridCol w:w="1741"/>
      </w:tblGrid>
      <w:tr>
        <w:trPr/>
        <w:tc>
          <w:tcPr>
            <w:tcW w:w="2716" w:type="dxa"/>
            <w:tcBorders/>
            <w:vAlign w:val="center"/>
          </w:tcPr>
          <w:p>
            <w:pPr>
              <w:pStyle w:val="TableContents"/>
              <w:bidi w:val="0"/>
              <w:spacing w:before="0" w:after="200"/>
              <w:ind w:left="0" w:right="0" w:hanging="0"/>
              <w:jc w:val="left"/>
              <w:rPr/>
            </w:pPr>
            <w:r>
              <w:rPr>
                <w:rFonts w:eastAsia="Microsoft YaHei"/>
                <w:sz w:val="20"/>
              </w:rPr>
              <w:t>卖方</w:t>
            </w:r>
            <w:r>
              <w:rPr>
                <w:rFonts w:eastAsia="Times New Roman;Times;serif"/>
                <w:sz w:val="20"/>
              </w:rPr>
              <w:t xml:space="preserve"> </w:t>
            </w:r>
            <w:r>
              <w:rPr>
                <w:rFonts w:ascii="Times New Roman;Times;serif" w:hAnsi="Times New Roman;Times;serif"/>
                <w:sz w:val="20"/>
              </w:rPr>
              <w:t>/ SELLER</w:t>
              <w:br/>
            </w:r>
            <w:r>
              <w:rPr>
                <w:rFonts w:eastAsia="Microsoft YaHei"/>
                <w:sz w:val="20"/>
              </w:rPr>
              <w:t>香港毅昌投资有限公司</w:t>
            </w:r>
            <w:r>
              <w:rPr>
                <w:rFonts w:ascii="Times New Roman;Times;serif" w:hAnsi="Times New Roman;Times;serif"/>
                <w:sz w:val="20"/>
              </w:rPr>
              <w:br/>
              <w:t>YICHANG HOLDING CO., LTD</w:t>
              <w:br/>
              <w:br/>
            </w:r>
            <w:r>
              <w:rPr>
                <w:rFonts w:eastAsia="Microsoft YaHei"/>
                <w:sz w:val="20"/>
              </w:rPr>
              <w:t>授权代表签字或盖章：</w:t>
            </w:r>
          </w:p>
        </w:tc>
        <w:tc>
          <w:tcPr>
            <w:tcW w:w="109" w:type="dxa"/>
            <w:vMerge w:val="restart"/>
            <w:tcBorders/>
            <w:vAlign w:val="center"/>
          </w:tcPr>
          <w:p>
            <w:pPr>
              <w:pStyle w:val="TableContents"/>
              <w:bidi w:val="0"/>
              <w:spacing w:before="0" w:after="200"/>
              <w:ind w:left="0" w:right="0" w:hanging="0"/>
              <w:jc w:val="left"/>
              <w:rPr>
                <w:caps w:val="false"/>
                <w:smallCaps w:val="false"/>
                <w:color w:val="000000"/>
              </w:rPr>
            </w:pPr>
            <w:r>
              <w:rPr>
                <w:caps w:val="false"/>
                <w:smallCaps w:val="false"/>
                <w:color w:val="000000"/>
              </w:rPr>
              <w:t>​</w:t>
            </w:r>
          </w:p>
        </w:tc>
        <w:tc>
          <w:tcPr>
            <w:tcW w:w="4036" w:type="dxa"/>
            <w:tcBorders/>
            <w:vAlign w:val="center"/>
          </w:tcPr>
          <w:p>
            <w:pPr>
              <w:pStyle w:val="TableContents"/>
              <w:bidi w:val="0"/>
              <w:spacing w:before="0" w:after="200"/>
              <w:ind w:left="0" w:right="0" w:hanging="0"/>
              <w:jc w:val="left"/>
              <w:rPr/>
            </w:pPr>
            <w:r>
              <w:rPr>
                <w:rFonts w:eastAsia="Microsoft YaHei"/>
                <w:sz w:val="20"/>
              </w:rPr>
              <w:t>买方</w:t>
            </w:r>
            <w:r>
              <w:rPr>
                <w:rFonts w:eastAsia="Times New Roman;Times;serif"/>
                <w:sz w:val="20"/>
              </w:rPr>
              <w:t xml:space="preserve"> </w:t>
            </w:r>
            <w:r>
              <w:rPr>
                <w:rFonts w:ascii="Times New Roman;Times;serif" w:hAnsi="Times New Roman;Times;serif"/>
                <w:sz w:val="20"/>
              </w:rPr>
              <w:t>/ BUYER</w:t>
              <w:br/>
            </w:r>
            <w:r>
              <w:rPr>
                <w:rFonts w:eastAsia="Microsoft YaHei"/>
                <w:sz w:val="20"/>
              </w:rPr>
              <w:t>浩佳国际贸易有限公司</w:t>
            </w:r>
            <w:r>
              <w:rPr>
                <w:rFonts w:ascii="Times New Roman;Times;serif" w:hAnsi="Times New Roman;Times;serif"/>
                <w:sz w:val="20"/>
              </w:rPr>
              <w:br/>
              <w:t>SUPER INTERNATIONAL TRADING LIMITED</w:t>
              <w:br/>
              <w:br/>
            </w:r>
            <w:r>
              <w:rPr>
                <w:rFonts w:eastAsia="Microsoft YaHei"/>
                <w:sz w:val="20"/>
              </w:rPr>
              <w:t>授权代表签字或盖章：</w:t>
            </w:r>
          </w:p>
        </w:tc>
        <w:tc>
          <w:tcPr>
            <w:tcW w:w="174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7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Company Stamp</w:t>
            </w:r>
          </w:p>
        </w:tc>
        <w:tc>
          <w:tcPr>
            <w:tcW w:w="109" w:type="dxa"/>
            <w:vMerge w:val="continue"/>
            <w:tcBorders/>
            <w:vAlign w:val="center"/>
          </w:tcPr>
          <w:p>
            <w:pPr>
              <w:pStyle w:val="Normal"/>
              <w:bidi w:val="0"/>
              <w:jc w:val="left"/>
              <w:rPr/>
            </w:pPr>
            <w:r>
              <w:rPr/>
            </w:r>
          </w:p>
        </w:tc>
        <w:tc>
          <w:tcPr>
            <w:tcW w:w="4036" w:type="dxa"/>
            <w:tcBorders/>
            <w:vAlign w:val="center"/>
          </w:tcPr>
          <w:p>
            <w:pPr>
              <w:pStyle w:val="TableContents"/>
              <w:bidi w:val="0"/>
              <w:spacing w:before="0" w:after="0"/>
              <w:ind w:left="0" w:right="0" w:hanging="0"/>
              <w:jc w:val="left"/>
              <w:rPr/>
            </w:pPr>
            <w:r>
              <w:rPr/>
              <w:t>​</w:t>
            </w:r>
          </w:p>
        </w:tc>
        <w:tc>
          <w:tcPr>
            <w:tcW w:w="17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Company Stamp</w:t>
            </w:r>
          </w:p>
        </w:tc>
      </w:tr>
      <w:tr>
        <w:trPr/>
        <w:tc>
          <w:tcPr>
            <w:tcW w:w="2716" w:type="dxa"/>
            <w:tcBorders>
              <w:top w:val="single" w:sz="2" w:space="0" w:color="000000"/>
            </w:tcBorders>
            <w:tcMar>
              <w:top w:w="28" w:type="dxa"/>
            </w:tcMar>
            <w:vAlign w:val="center"/>
          </w:tcPr>
          <w:p>
            <w:pPr>
              <w:pStyle w:val="TableContents"/>
              <w:bidi w:val="0"/>
              <w:spacing w:before="0" w:after="0"/>
              <w:ind w:left="0" w:right="0" w:hanging="0"/>
              <w:jc w:val="left"/>
              <w:rPr/>
            </w:pPr>
            <w:r>
              <w:rPr>
                <w:rFonts w:eastAsia="Microsoft YaHei"/>
                <w:sz w:val="20"/>
              </w:rPr>
              <w:t>日期：</w:t>
            </w:r>
            <w:r>
              <w:rPr>
                <w:rFonts w:ascii="Times New Roman;Times;serif" w:hAnsi="Times New Roman;Times;serif"/>
                <w:sz w:val="20"/>
              </w:rPr>
              <w:t>06/10/2026</w:t>
            </w:r>
          </w:p>
        </w:tc>
        <w:tc>
          <w:tcPr>
            <w:tcW w:w="109" w:type="dxa"/>
            <w:tcBorders/>
            <w:vAlign w:val="center"/>
          </w:tcPr>
          <w:p>
            <w:pPr>
              <w:pStyle w:val="TableContents"/>
              <w:bidi w:val="0"/>
              <w:spacing w:before="0" w:after="0"/>
              <w:ind w:left="0" w:right="0" w:hanging="0"/>
              <w:jc w:val="left"/>
              <w:rPr/>
            </w:pPr>
            <w:r>
              <w:rPr/>
              <w:t>​</w:t>
            </w:r>
          </w:p>
        </w:tc>
        <w:tc>
          <w:tcPr>
            <w:tcW w:w="4036" w:type="dxa"/>
            <w:tcBorders>
              <w:top w:val="single" w:sz="2" w:space="0" w:color="000000"/>
            </w:tcBorders>
            <w:tcMar>
              <w:top w:w="28" w:type="dxa"/>
            </w:tcMar>
            <w:vAlign w:val="center"/>
          </w:tcPr>
          <w:p>
            <w:pPr>
              <w:pStyle w:val="TableContents"/>
              <w:bidi w:val="0"/>
              <w:spacing w:before="0" w:after="0"/>
              <w:ind w:left="0" w:right="0" w:hanging="0"/>
              <w:jc w:val="left"/>
              <w:rPr/>
            </w:pPr>
            <w:r>
              <w:rPr>
                <w:rFonts w:eastAsia="Microsoft YaHei"/>
                <w:sz w:val="20"/>
              </w:rPr>
              <w:t>日期：</w:t>
            </w:r>
            <w:r>
              <w:rPr>
                <w:rFonts w:ascii="Times New Roman;Times;serif" w:hAnsi="Times New Roman;Times;serif"/>
                <w:sz w:val="20"/>
              </w:rPr>
              <w:t>06/10/2026</w:t>
            </w:r>
          </w:p>
        </w:tc>
        <w:tc>
          <w:tcPr>
            <w:tcW w:w="174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451" w:name="ctnt-20260630xex10d19.htm"/>
      <w:bookmarkStart w:id="1452" w:name="ksctnt20260630xex10d19"/>
      <w:bookmarkEnd w:id="1451"/>
      <w:bookmarkEnd w:id="1452"/>
      <w:r>
        <w:rPr>
          <w:rFonts w:ascii="Times New Roman;Times;serif" w:hAnsi="Times New Roman;Times;serif"/>
          <w:b/>
          <w:sz w:val="20"/>
        </w:rPr>
        <w:t>Exhibit 10.19</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eastAsia="Songti TC"/>
          <w:b/>
          <w:sz w:val="21"/>
        </w:rPr>
      </w:pPr>
      <w:r>
        <w:rPr>
          <w:rFonts w:eastAsia="Songti TC"/>
          <w:b/>
          <w:sz w:val="21"/>
        </w:rPr>
        <w:t>销售合同</w:t>
      </w:r>
    </w:p>
    <w:p>
      <w:pPr>
        <w:pStyle w:val="TextBody"/>
        <w:bidi w:val="0"/>
        <w:spacing w:before="0" w:after="80"/>
        <w:ind w:left="0" w:right="0" w:hanging="0"/>
        <w:jc w:val="center"/>
        <w:rPr>
          <w:rFonts w:ascii="Times New Roman;Times;serif" w:hAnsi="Times New Roman;Times;serif"/>
          <w:b/>
          <w:sz w:val="21"/>
        </w:rPr>
      </w:pPr>
      <w:r>
        <w:rPr>
          <w:rFonts w:ascii="Times New Roman;Times;serif" w:hAnsi="Times New Roman;Times;serif"/>
          <w:b/>
          <w:sz w:val="21"/>
        </w:rPr>
        <w:t>SALES CONTRACT</w:t>
      </w:r>
    </w:p>
    <w:p>
      <w:pPr>
        <w:pStyle w:val="TextBody"/>
        <w:bidi w:val="0"/>
        <w:spacing w:before="0" w:after="120"/>
        <w:ind w:left="0" w:right="0" w:hanging="0"/>
        <w:jc w:val="left"/>
        <w:rPr/>
      </w:pPr>
      <w:r>
        <w:rPr>
          <w:rFonts w:eastAsia="Songti TC"/>
          <w:sz w:val="19"/>
        </w:rPr>
        <w:t>合同编号：</w:t>
      </w:r>
      <w:r>
        <w:rPr>
          <w:rFonts w:ascii="Times New Roman;Times;serif" w:hAnsi="Times New Roman;Times;serif"/>
          <w:sz w:val="19"/>
        </w:rPr>
        <w:t>HJ-RP-20260615</w:t>
      </w:r>
    </w:p>
    <w:p>
      <w:pPr>
        <w:pStyle w:val="TextBody"/>
        <w:bidi w:val="0"/>
        <w:spacing w:before="0" w:after="120"/>
        <w:ind w:left="0" w:right="0" w:hanging="0"/>
        <w:jc w:val="left"/>
        <w:rPr/>
      </w:pPr>
      <w:r>
        <w:rPr>
          <w:rFonts w:eastAsia="Songti TC"/>
          <w:sz w:val="19"/>
        </w:rPr>
        <w:t>签约日期：</w:t>
      </w:r>
      <w:r>
        <w:rPr>
          <w:rFonts w:ascii="Times New Roman;Times;serif" w:hAnsi="Times New Roman;Times;serif"/>
          <w:sz w:val="19"/>
        </w:rPr>
        <w:t>2026</w:t>
      </w:r>
      <w:r>
        <w:rPr>
          <w:rFonts w:eastAsia="Songti TC"/>
          <w:sz w:val="19"/>
        </w:rPr>
        <w:t>年</w:t>
      </w:r>
      <w:r>
        <w:rPr>
          <w:rFonts w:ascii="Times New Roman;Times;serif" w:hAnsi="Times New Roman;Times;serif"/>
          <w:sz w:val="19"/>
        </w:rPr>
        <w:t>6</w:t>
      </w:r>
      <w:r>
        <w:rPr>
          <w:rFonts w:eastAsia="Songti TC"/>
          <w:sz w:val="19"/>
        </w:rPr>
        <w:t>月</w:t>
      </w:r>
      <w:r>
        <w:rPr>
          <w:rFonts w:ascii="Times New Roman;Times;serif" w:hAnsi="Times New Roman;Times;serif"/>
          <w:sz w:val="19"/>
        </w:rPr>
        <w:t>15</w:t>
      </w:r>
      <w:r>
        <w:rPr>
          <w:rFonts w:eastAsia="Songti TC"/>
          <w:sz w:val="19"/>
        </w:rPr>
        <w:t>日</w:t>
      </w:r>
      <w:r>
        <w:rPr>
          <w:rFonts w:ascii="Times New Roman;Times;serif" w:hAnsi="Times New Roman;Times;serif"/>
          <w:sz w:val="19"/>
        </w:rPr>
        <w:br/>
        <w:t>Contract No.: HJ-RP-20260615</w:t>
        <w:br/>
        <w:t>Date: June 15, 2026</w:t>
      </w:r>
    </w:p>
    <w:p>
      <w:pPr>
        <w:pStyle w:val="TextBody"/>
        <w:bidi w:val="0"/>
        <w:spacing w:before="0" w:after="120"/>
        <w:ind w:left="0" w:right="0" w:hanging="0"/>
        <w:jc w:val="left"/>
        <w:rPr/>
      </w:pPr>
      <w:r>
        <w:rPr>
          <w:rFonts w:eastAsia="Songti TC"/>
          <w:sz w:val="19"/>
        </w:rPr>
        <w:t>卖方</w:t>
      </w:r>
      <w:r>
        <w:rPr>
          <w:rFonts w:eastAsia="Times New Roman;Times;serif"/>
          <w:sz w:val="18"/>
        </w:rPr>
        <w:t xml:space="preserve"> </w:t>
      </w:r>
      <w:r>
        <w:rPr>
          <w:rFonts w:ascii="Times New Roman;Times;serif" w:hAnsi="Times New Roman;Times;serif"/>
          <w:sz w:val="19"/>
        </w:rPr>
        <w:t>/ SELLER</w:t>
      </w:r>
    </w:p>
    <w:p>
      <w:pPr>
        <w:pStyle w:val="TextBody"/>
        <w:bidi w:val="0"/>
        <w:spacing w:before="0" w:after="120"/>
        <w:ind w:left="0" w:right="0" w:hanging="0"/>
        <w:jc w:val="left"/>
        <w:rPr/>
      </w:pPr>
      <w:r>
        <w:rPr>
          <w:rFonts w:eastAsia="Songti TC"/>
          <w:sz w:val="19"/>
        </w:rPr>
        <w:t>浩佳国际贸易有限公司</w:t>
      </w:r>
      <w:r>
        <w:rPr>
          <w:rFonts w:ascii="Times New Roman;Times;serif" w:hAnsi="Times New Roman;Times;serif"/>
          <w:sz w:val="19"/>
        </w:rPr>
        <w:br/>
        <w:t>SUPER INTERNATIONAL TRADING LIMITED</w:t>
        <w:br/>
        <w:t>Address: Room 1007, 10/F., Heng Ngai Jewelry Centre, 4 Hok Yuen Street East, Hung Hom, Hong Kong, China</w:t>
      </w:r>
    </w:p>
    <w:p>
      <w:pPr>
        <w:pStyle w:val="TextBody"/>
        <w:bidi w:val="0"/>
        <w:spacing w:before="0" w:after="120"/>
        <w:ind w:left="0" w:right="0" w:hanging="0"/>
        <w:jc w:val="left"/>
        <w:rPr/>
      </w:pPr>
      <w:r>
        <w:rPr>
          <w:rFonts w:eastAsia="Songti TC"/>
          <w:sz w:val="19"/>
        </w:rPr>
        <w:t>买方</w:t>
      </w:r>
      <w:r>
        <w:rPr>
          <w:rFonts w:eastAsia="Times New Roman;Times;serif"/>
          <w:sz w:val="18"/>
        </w:rPr>
        <w:t xml:space="preserve"> </w:t>
      </w:r>
      <w:r>
        <w:rPr>
          <w:rFonts w:ascii="Times New Roman;Times;serif" w:hAnsi="Times New Roman;Times;serif"/>
          <w:sz w:val="19"/>
        </w:rPr>
        <w:t>/ BUYER</w:t>
      </w:r>
    </w:p>
    <w:p>
      <w:pPr>
        <w:pStyle w:val="TextBody"/>
        <w:bidi w:val="0"/>
        <w:spacing w:before="0" w:after="120"/>
        <w:ind w:left="0" w:right="0" w:hanging="0"/>
        <w:jc w:val="left"/>
        <w:rPr>
          <w:rFonts w:eastAsia="Songti TC"/>
          <w:sz w:val="19"/>
        </w:rPr>
      </w:pPr>
      <w:r>
        <w:rPr>
          <w:rFonts w:eastAsia="Songti TC"/>
          <w:sz w:val="19"/>
        </w:rPr>
        <w:t>捷进有限公司</w:t>
      </w:r>
    </w:p>
    <w:p>
      <w:pPr>
        <w:pStyle w:val="TextBody"/>
        <w:bidi w:val="0"/>
        <w:spacing w:before="0" w:after="120"/>
        <w:ind w:left="0" w:right="0" w:hanging="0"/>
        <w:jc w:val="left"/>
        <w:rPr>
          <w:rFonts w:ascii="Times New Roman;Times;serif" w:hAnsi="Times New Roman;Times;serif"/>
          <w:sz w:val="19"/>
        </w:rPr>
      </w:pPr>
      <w:r>
        <w:rPr>
          <w:rFonts w:ascii="Times New Roman;Times;serif" w:hAnsi="Times New Roman;Times;serif"/>
          <w:sz w:val="19"/>
        </w:rPr>
        <w:t>RAPID PROCEED LIMITED</w:t>
        <w:br/>
        <w:t>Address: [*]</w:t>
      </w:r>
    </w:p>
    <w:p>
      <w:pPr>
        <w:pStyle w:val="TextBody"/>
        <w:bidi w:val="0"/>
        <w:spacing w:before="0" w:after="120"/>
        <w:ind w:left="0" w:right="0" w:hanging="0"/>
        <w:jc w:val="left"/>
        <w:rPr>
          <w:rFonts w:eastAsia="Songti TC"/>
          <w:sz w:val="19"/>
        </w:rPr>
      </w:pPr>
      <w:r>
        <w:rPr>
          <w:rFonts w:eastAsia="Songti TC"/>
          <w:sz w:val="19"/>
        </w:rPr>
        <w:t>卖方同意出售、买方同意购买本合同所列货物，双方经友好协商一致，订立本合同并共同遵守。</w:t>
      </w:r>
    </w:p>
    <w:p>
      <w:pPr>
        <w:pStyle w:val="TextBody"/>
        <w:bidi w:val="0"/>
        <w:spacing w:before="0" w:after="120"/>
        <w:ind w:left="0" w:right="0" w:hanging="0"/>
        <w:jc w:val="left"/>
        <w:rPr>
          <w:rFonts w:ascii="Times New Roman;Times;serif" w:hAnsi="Times New Roman;Times;serif"/>
          <w:sz w:val="19"/>
        </w:rPr>
      </w:pPr>
      <w:r>
        <w:rPr>
          <w:rFonts w:ascii="Times New Roman;Times;serif" w:hAnsi="Times New Roman;Times;serif"/>
          <w:sz w:val="19"/>
        </w:rPr>
        <w:t>Seller agrees to sell and Buyer agrees to purchase the Goods described herein, subject to the terms and conditions set forth in this Contract.</w:t>
      </w:r>
    </w:p>
    <w:p>
      <w:pPr>
        <w:pStyle w:val="TextBody"/>
        <w:bidi w:val="0"/>
        <w:spacing w:before="0" w:after="120"/>
        <w:ind w:left="0" w:right="0" w:hanging="0"/>
        <w:jc w:val="left"/>
        <w:rPr/>
      </w:pPr>
      <w:r>
        <w:rPr>
          <w:rFonts w:ascii="Times New Roman;Times;serif" w:hAnsi="Times New Roman;Times;serif"/>
          <w:sz w:val="19"/>
        </w:rPr>
        <w:t xml:space="preserve">1. </w:t>
      </w:r>
      <w:r>
        <w:rPr>
          <w:rFonts w:eastAsia="Songti TC"/>
          <w:sz w:val="19"/>
        </w:rPr>
        <w:t>货物</w:t>
      </w:r>
      <w:r>
        <w:rPr>
          <w:rFonts w:eastAsia="Times New Roman;Times;serif"/>
          <w:sz w:val="18"/>
        </w:rPr>
        <w:t xml:space="preserve"> </w:t>
      </w:r>
      <w:r>
        <w:rPr>
          <w:rFonts w:ascii="Times New Roman;Times;serif" w:hAnsi="Times New Roman;Times;serif"/>
          <w:sz w:val="19"/>
        </w:rPr>
        <w:t>/ GOODS</w:t>
      </w:r>
    </w:p>
    <w:p>
      <w:pPr>
        <w:pStyle w:val="TextBody"/>
        <w:bidi w:val="0"/>
        <w:spacing w:before="0" w:after="120"/>
        <w:ind w:left="0" w:right="0" w:hanging="0"/>
        <w:jc w:val="left"/>
        <w:rPr/>
      </w:pPr>
      <w:r>
        <w:rPr>
          <w:rFonts w:eastAsia="Songti TC"/>
          <w:sz w:val="19"/>
        </w:rPr>
        <w:t>本合同项下货物为三台沃尔沃挖掘机，型号为</w:t>
      </w:r>
      <w:r>
        <w:rPr>
          <w:rFonts w:eastAsia="Times New Roman;Times;serif"/>
          <w:sz w:val="18"/>
        </w:rPr>
        <w:t xml:space="preserve"> </w:t>
      </w:r>
      <w:r>
        <w:rPr>
          <w:rFonts w:ascii="Times New Roman;Times;serif" w:hAnsi="Times New Roman;Times;serif"/>
          <w:sz w:val="19"/>
        </w:rPr>
        <w:t>EC500ELHBC4</w:t>
      </w:r>
      <w:r>
        <w:rPr>
          <w:rFonts w:eastAsia="Songti TC"/>
          <w:sz w:val="19"/>
        </w:rPr>
        <w:t>。每台设备的车架号、发动机号、生产年份及其他识别信息详见附件</w:t>
      </w:r>
      <w:r>
        <w:rPr>
          <w:rFonts w:ascii="Times New Roman;Times;serif" w:hAnsi="Times New Roman;Times;serif"/>
          <w:sz w:val="19"/>
        </w:rPr>
        <w:t>A</w:t>
      </w:r>
      <w:r>
        <w:rPr>
          <w:rFonts w:eastAsia="Songti TC"/>
          <w:sz w:val="19"/>
        </w:rPr>
        <w:t>。附件</w:t>
      </w:r>
      <w:r>
        <w:rPr>
          <w:rFonts w:ascii="Times New Roman;Times;serif" w:hAnsi="Times New Roman;Times;serif"/>
          <w:sz w:val="19"/>
        </w:rPr>
        <w:t>A</w:t>
      </w:r>
      <w:r>
        <w:rPr>
          <w:rFonts w:eastAsia="Songti TC"/>
          <w:sz w:val="19"/>
        </w:rPr>
        <w:t>构成本合同不可分割的一部分。</w:t>
      </w:r>
    </w:p>
    <w:p>
      <w:pPr>
        <w:pStyle w:val="TextBody"/>
        <w:bidi w:val="0"/>
        <w:spacing w:before="0" w:after="120"/>
        <w:ind w:left="0" w:right="0" w:hanging="0"/>
        <w:jc w:val="left"/>
        <w:rPr>
          <w:rFonts w:ascii="Times New Roman;Times;serif" w:hAnsi="Times New Roman;Times;serif"/>
          <w:sz w:val="19"/>
        </w:rPr>
      </w:pPr>
      <w:r>
        <w:rPr>
          <w:rFonts w:ascii="Times New Roman;Times;serif" w:hAnsi="Times New Roman;Times;serif"/>
          <w:sz w:val="19"/>
        </w:rPr>
        <w:t>The Goods consist of three Volvo excavators, Model EC500ELHBC4. The chassis number, engine number, year of manufacture and other identifying information of each unit are set forth in Annex A, which forms an integral part of this Contract.</w:t>
      </w:r>
    </w:p>
    <w:p>
      <w:pPr>
        <w:pStyle w:val="TextBody"/>
        <w:bidi w:val="0"/>
        <w:spacing w:before="0" w:after="120"/>
        <w:ind w:left="0" w:right="0" w:hanging="0"/>
        <w:jc w:val="left"/>
        <w:rPr/>
      </w:pPr>
      <w:r>
        <w:rPr>
          <w:rFonts w:ascii="Times New Roman;Times;serif" w:hAnsi="Times New Roman;Times;serif"/>
          <w:sz w:val="19"/>
        </w:rPr>
        <w:t xml:space="preserve">2. </w:t>
      </w:r>
      <w:r>
        <w:rPr>
          <w:rFonts w:eastAsia="Songti TC"/>
          <w:sz w:val="19"/>
        </w:rPr>
        <w:t>合同总价</w:t>
      </w:r>
      <w:r>
        <w:rPr>
          <w:rFonts w:eastAsia="Times New Roman;Times;serif"/>
          <w:sz w:val="18"/>
        </w:rPr>
        <w:t xml:space="preserve"> </w:t>
      </w:r>
      <w:r>
        <w:rPr>
          <w:rFonts w:ascii="Times New Roman;Times;serif" w:hAnsi="Times New Roman;Times;serif"/>
          <w:sz w:val="19"/>
        </w:rPr>
        <w:t>/ CONTRACT PRICE</w:t>
      </w:r>
    </w:p>
    <w:p>
      <w:pPr>
        <w:pStyle w:val="TextBody"/>
        <w:bidi w:val="0"/>
        <w:spacing w:before="0" w:after="120"/>
        <w:ind w:left="0" w:right="0" w:hanging="0"/>
        <w:jc w:val="left"/>
        <w:rPr/>
      </w:pPr>
      <w:r>
        <w:rPr>
          <w:rFonts w:eastAsia="Songti TC"/>
          <w:sz w:val="19"/>
        </w:rPr>
        <w:t>本合同项下三台货物总价为</w:t>
      </w:r>
      <w:r>
        <w:rPr>
          <w:rFonts w:ascii="Times New Roman;Times;serif" w:hAnsi="Times New Roman;Times;serif"/>
          <w:sz w:val="19"/>
        </w:rPr>
        <w:t>660,000.00</w:t>
      </w:r>
      <w:r>
        <w:rPr>
          <w:rFonts w:eastAsia="Songti TC"/>
          <w:sz w:val="19"/>
        </w:rPr>
        <w:t>美元。除双方另有书面约定外，本合同价格不包括买方提货、装卸、运输、出口、进口、报关、关税、保险及其他相关费用。</w:t>
      </w:r>
    </w:p>
    <w:p>
      <w:pPr>
        <w:pStyle w:val="TextBody"/>
        <w:bidi w:val="0"/>
        <w:spacing w:before="0" w:after="120"/>
        <w:ind w:left="0" w:right="0" w:hanging="0"/>
        <w:jc w:val="left"/>
        <w:rPr>
          <w:rFonts w:ascii="Times New Roman;Times;serif" w:hAnsi="Times New Roman;Times;serif"/>
          <w:sz w:val="19"/>
        </w:rPr>
      </w:pPr>
      <w:r>
        <w:rPr>
          <w:rFonts w:ascii="Times New Roman;Times;serif" w:hAnsi="Times New Roman;Times;serif"/>
          <w:sz w:val="19"/>
        </w:rPr>
        <w:t>The total Contract Price for the three units is United States Dollars Six Hundred Sixty Thousand Only (USD 660,000.00). Unless otherwise agreed in writing, the Contract Price excludes Buyer's collection, loading, transportation, export, import, customs clearance, duties, insurance and other related expenses.</w:t>
      </w:r>
    </w:p>
    <w:p>
      <w:pPr>
        <w:pStyle w:val="TextBody"/>
        <w:bidi w:val="0"/>
        <w:spacing w:before="0" w:after="120"/>
        <w:ind w:left="0" w:right="0" w:hanging="0"/>
        <w:jc w:val="left"/>
        <w:rPr/>
      </w:pPr>
      <w:r>
        <w:rPr>
          <w:rFonts w:ascii="Times New Roman;Times;serif" w:hAnsi="Times New Roman;Times;serif"/>
          <w:sz w:val="19"/>
        </w:rPr>
        <w:t xml:space="preserve">3. </w:t>
      </w:r>
      <w:r>
        <w:rPr>
          <w:rFonts w:eastAsia="Songti TC"/>
          <w:sz w:val="19"/>
        </w:rPr>
        <w:t>付款条件</w:t>
      </w:r>
      <w:r>
        <w:rPr>
          <w:rFonts w:eastAsia="Times New Roman;Times;serif"/>
          <w:sz w:val="18"/>
        </w:rPr>
        <w:t xml:space="preserve"> </w:t>
      </w:r>
      <w:r>
        <w:rPr>
          <w:rFonts w:ascii="Times New Roman;Times;serif" w:hAnsi="Times New Roman;Times;serif"/>
          <w:sz w:val="19"/>
        </w:rPr>
        <w:t>/ PAYMENT TERMS</w:t>
      </w:r>
    </w:p>
    <w:p>
      <w:pPr>
        <w:pStyle w:val="TextBody"/>
        <w:bidi w:val="0"/>
        <w:spacing w:before="0" w:after="120"/>
        <w:ind w:left="0" w:right="0" w:hanging="0"/>
        <w:jc w:val="left"/>
        <w:rPr/>
      </w:pPr>
      <w:r>
        <w:rPr>
          <w:rFonts w:eastAsia="Songti TC"/>
          <w:sz w:val="19"/>
        </w:rPr>
        <w:t>买方应通过电汇方式向卖方支付合同总价的</w:t>
      </w:r>
      <w:r>
        <w:rPr>
          <w:rFonts w:ascii="Times New Roman;Times;serif" w:hAnsi="Times New Roman;Times;serif"/>
          <w:sz w:val="19"/>
        </w:rPr>
        <w:t>100%</w:t>
      </w:r>
      <w:r>
        <w:rPr>
          <w:rFonts w:eastAsia="Songti TC"/>
          <w:sz w:val="19"/>
        </w:rPr>
        <w:t>作为预付款。只有当全部合同价款以不可撤销且可立即使用的资金实际贷记至卖方指定银行账户时，方视为卖方收到付款。所有汇款、中间行及其他银行手续费均由买方承担，卖方应净收到</w:t>
      </w:r>
      <w:r>
        <w:rPr>
          <w:rFonts w:ascii="Times New Roman;Times;serif" w:hAnsi="Times New Roman;Times;serif"/>
          <w:sz w:val="19"/>
        </w:rPr>
        <w:t>660,000.00</w:t>
      </w:r>
      <w:r>
        <w:rPr>
          <w:rFonts w:eastAsia="Songti TC"/>
          <w:sz w:val="19"/>
        </w:rPr>
        <w:t>美元。</w:t>
      </w:r>
    </w:p>
    <w:p>
      <w:pPr>
        <w:pStyle w:val="TextBody"/>
        <w:bidi w:val="0"/>
        <w:spacing w:before="0" w:after="80"/>
        <w:ind w:left="0" w:right="0" w:hanging="0"/>
        <w:jc w:val="left"/>
        <w:rPr/>
      </w:pPr>
      <w:r>
        <w:rPr>
          <w:rFonts w:eastAsia="Songti TC"/>
          <w:sz w:val="19"/>
        </w:rPr>
        <w:t>卖方银行账户：</w:t>
      </w:r>
      <w:r>
        <w:rPr>
          <w:rFonts w:ascii="Times New Roman;Times;serif" w:hAnsi="Times New Roman;Times;serif"/>
          <w:sz w:val="19"/>
        </w:rPr>
        <w:br/>
      </w:r>
      <w:r>
        <w:rPr>
          <w:rFonts w:eastAsia="Songti TC"/>
          <w:sz w:val="19"/>
        </w:rPr>
        <w:t>账户名称：</w:t>
      </w:r>
      <w:r>
        <w:rPr>
          <w:rFonts w:ascii="Times New Roman;Times;serif" w:hAnsi="Times New Roman;Times;serif"/>
          <w:sz w:val="19"/>
        </w:rPr>
        <w:t>[*]</w:t>
        <w:br/>
      </w:r>
      <w:r>
        <w:rPr>
          <w:rFonts w:eastAsia="Songti TC"/>
          <w:sz w:val="19"/>
        </w:rPr>
        <w:t>账号：</w:t>
      </w:r>
      <w:r>
        <w:rPr>
          <w:rFonts w:ascii="Times New Roman;Times;serif" w:hAnsi="Times New Roman;Times;serif"/>
          <w:sz w:val="19"/>
        </w:rPr>
        <w:t>[*]</w:t>
        <w:br/>
      </w:r>
      <w:r>
        <w:rPr>
          <w:rFonts w:eastAsia="Songti TC"/>
          <w:sz w:val="19"/>
        </w:rPr>
        <w:t>银行名称：</w:t>
      </w:r>
      <w:r>
        <w:rPr>
          <w:rFonts w:ascii="Times New Roman;Times;serif" w:hAnsi="Times New Roman;Times;serif"/>
          <w:sz w:val="19"/>
        </w:rPr>
        <w:t>[*]</w:t>
        <w:br/>
      </w:r>
      <w:r>
        <w:rPr>
          <w:rFonts w:eastAsia="Songti TC"/>
          <w:sz w:val="19"/>
        </w:rPr>
        <w:t>银行地址：</w:t>
      </w:r>
      <w:r>
        <w:rPr>
          <w:rFonts w:ascii="Times New Roman;Times;serif" w:hAnsi="Times New Roman;Times;serif"/>
          <w:sz w:val="19"/>
        </w:rPr>
        <w:t>[*]</w:t>
        <w:br/>
        <w:t>SWIFT</w:t>
      </w:r>
      <w:r>
        <w:rPr>
          <w:rFonts w:eastAsia="Songti TC"/>
          <w:sz w:val="19"/>
        </w:rPr>
        <w:t>：</w:t>
      </w:r>
      <w:r>
        <w:rPr>
          <w:rFonts w:ascii="Times New Roman;Times;serif" w:hAnsi="Times New Roman;Times;serif"/>
          <w:sz w:val="19"/>
        </w:rPr>
        <w:t>[*]</w:t>
      </w:r>
    </w:p>
    <w:p>
      <w:pPr>
        <w:pStyle w:val="TextBody"/>
        <w:bidi w:val="0"/>
        <w:spacing w:before="0" w:after="100"/>
        <w:ind w:left="0" w:right="0" w:hanging="0"/>
        <w:jc w:val="left"/>
        <w:rPr/>
      </w:pPr>
      <w:r>
        <w:rPr/>
        <w:t>​</w:t>
      </w:r>
    </w:p>
    <w:p>
      <w:pPr>
        <w:pStyle w:val="TextBody"/>
        <w:bidi w:val="0"/>
        <w:spacing w:before="480" w:after="0"/>
        <w:ind w:left="0" w:right="0" w:hanging="0"/>
        <w:jc w:val="center"/>
        <w:rPr>
          <w:rFonts w:ascii="Times New Roman;Times;serif" w:hAnsi="Times New Roman;Times;serif"/>
          <w:sz w:val="19"/>
        </w:rPr>
      </w:pPr>
      <w:r>
        <w:rPr>
          <w:rFonts w:ascii="Times New Roman;Times;serif" w:hAnsi="Times New Roman;Times;serif"/>
          <w:sz w:val="19"/>
        </w:rPr>
        <w:t>Page 1</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left"/>
        <w:rPr>
          <w:rFonts w:ascii="Times New Roman;Times;serif" w:hAnsi="Times New Roman;Times;serif"/>
          <w:sz w:val="19"/>
        </w:rPr>
      </w:pPr>
      <w:r>
        <w:rPr>
          <w:rFonts w:ascii="Times New Roman;Times;serif" w:hAnsi="Times New Roman;Times;serif"/>
          <w:sz w:val="19"/>
        </w:rPr>
        <w:t>Buyer shall pay 100% of the Contract Price in advance by T/T. Payment is deemed received only when the full Contract Price has been irrevocably credited to Seller's designated account in immediately available funds. All remittance and intermediary bank charges shall be borne by Buyer so that Seller receives USD 660,000.00 net.</w:t>
        <w:br/>
        <w:br/>
        <w:t>Seller's Bank Account:</w:t>
        <w:br/>
        <w:t>Account Name: [*]</w:t>
        <w:br/>
        <w:t>Account No.: [*]</w:t>
        <w:br/>
        <w:t>Bank: [*]</w:t>
        <w:br/>
        <w:t>Bank Address: [*]</w:t>
        <w:br/>
        <w:t>SWIFT: [*]</w:t>
      </w:r>
    </w:p>
    <w:p>
      <w:pPr>
        <w:pStyle w:val="TextBody"/>
        <w:bidi w:val="0"/>
        <w:spacing w:before="0" w:after="120"/>
        <w:ind w:left="0" w:right="0" w:hanging="0"/>
        <w:jc w:val="left"/>
        <w:rPr/>
      </w:pPr>
      <w:r>
        <w:rPr>
          <w:rFonts w:ascii="Times New Roman;Times;serif" w:hAnsi="Times New Roman;Times;serif"/>
          <w:sz w:val="19"/>
        </w:rPr>
        <w:t xml:space="preserve">4. </w:t>
      </w:r>
      <w:r>
        <w:rPr>
          <w:rFonts w:eastAsia="Songti TC"/>
          <w:sz w:val="19"/>
        </w:rPr>
        <w:t>交货条件</w:t>
      </w:r>
      <w:r>
        <w:rPr>
          <w:rFonts w:eastAsia="Times New Roman;Times;serif"/>
          <w:sz w:val="18"/>
        </w:rPr>
        <w:t xml:space="preserve"> </w:t>
      </w:r>
      <w:r>
        <w:rPr>
          <w:rFonts w:ascii="Times New Roman;Times;serif" w:hAnsi="Times New Roman;Times;serif"/>
          <w:sz w:val="19"/>
        </w:rPr>
        <w:t>/ DELIVERY TERM</w:t>
      </w:r>
    </w:p>
    <w:p>
      <w:pPr>
        <w:pStyle w:val="TextBody"/>
        <w:bidi w:val="0"/>
        <w:spacing w:before="0" w:after="120"/>
        <w:ind w:left="0" w:right="0" w:hanging="0"/>
        <w:jc w:val="left"/>
        <w:rPr/>
      </w:pPr>
      <w:r>
        <w:rPr>
          <w:rFonts w:eastAsia="Songti TC"/>
          <w:sz w:val="19"/>
        </w:rPr>
        <w:t>本合同项下交货条件为卖方指定的中国境内工厂或仓库交货，适用《国际贸易术语解释通则</w:t>
      </w:r>
      <w:r>
        <w:rPr>
          <w:rFonts w:ascii="Times New Roman;Times;serif" w:hAnsi="Times New Roman;Times;serif"/>
          <w:sz w:val="19"/>
        </w:rPr>
        <w:t>2020</w:t>
      </w:r>
      <w:r>
        <w:rPr>
          <w:rFonts w:eastAsia="Songti TC"/>
          <w:sz w:val="19"/>
        </w:rPr>
        <w:t>》</w:t>
      </w:r>
      <w:r>
        <w:rPr>
          <w:rFonts w:ascii="Times New Roman;Times;serif" w:hAnsi="Times New Roman;Times;serif"/>
          <w:sz w:val="19"/>
        </w:rPr>
        <w:t>EXW</w:t>
      </w:r>
      <w:r>
        <w:rPr>
          <w:rFonts w:eastAsia="Songti TC"/>
          <w:sz w:val="19"/>
        </w:rPr>
        <w:t>条款。卖方收到全部合同价款后，应将货物置于指定地点供买方提取。具体提货地点由卖方在安排提货时通知买方。</w:t>
      </w:r>
    </w:p>
    <w:p>
      <w:pPr>
        <w:pStyle w:val="TextBody"/>
        <w:bidi w:val="0"/>
        <w:spacing w:before="0" w:after="120"/>
        <w:ind w:left="0" w:right="0" w:hanging="0"/>
        <w:jc w:val="left"/>
        <w:rPr>
          <w:rFonts w:ascii="Times New Roman;Times;serif" w:hAnsi="Times New Roman;Times;serif"/>
          <w:sz w:val="19"/>
        </w:rPr>
      </w:pPr>
      <w:r>
        <w:rPr>
          <w:rFonts w:ascii="Times New Roman;Times;serif" w:hAnsi="Times New Roman;Times;serif"/>
          <w:sz w:val="19"/>
        </w:rPr>
        <w:t>Delivery shall be EXW Seller's designated facility or warehouse in China in accordance with Incoterms® 2020. Following receipt of the full Contract Price, Seller shall make the Goods available for collection at the designated location. The specific collection location shall be notified to Buyer when collection is arranged.</w:t>
      </w:r>
    </w:p>
    <w:p>
      <w:pPr>
        <w:pStyle w:val="TextBody"/>
        <w:bidi w:val="0"/>
        <w:spacing w:before="0" w:after="120"/>
        <w:ind w:left="0" w:right="0" w:hanging="0"/>
        <w:jc w:val="left"/>
        <w:rPr/>
      </w:pPr>
      <w:r>
        <w:rPr>
          <w:rFonts w:ascii="Times New Roman;Times;serif" w:hAnsi="Times New Roman;Times;serif"/>
          <w:sz w:val="19"/>
        </w:rPr>
        <w:t xml:space="preserve">5. </w:t>
      </w:r>
      <w:r>
        <w:rPr>
          <w:rFonts w:eastAsia="Songti TC"/>
          <w:sz w:val="19"/>
        </w:rPr>
        <w:t>交付、货权及风险转移</w:t>
      </w:r>
      <w:r>
        <w:rPr>
          <w:rFonts w:eastAsia="Times New Roman;Times;serif"/>
          <w:sz w:val="18"/>
        </w:rPr>
        <w:t xml:space="preserve"> </w:t>
      </w:r>
      <w:r>
        <w:rPr>
          <w:rFonts w:ascii="Times New Roman;Times;serif" w:hAnsi="Times New Roman;Times;serif"/>
          <w:sz w:val="19"/>
        </w:rPr>
        <w:t>/ DELIVERY, TITLE AND RISK</w:t>
      </w:r>
    </w:p>
    <w:p>
      <w:pPr>
        <w:pStyle w:val="TextBody"/>
        <w:bidi w:val="0"/>
        <w:spacing w:before="0" w:after="120"/>
        <w:ind w:left="0" w:right="0" w:hanging="0"/>
        <w:jc w:val="left"/>
        <w:rPr/>
      </w:pPr>
      <w:r>
        <w:rPr>
          <w:rFonts w:eastAsia="Songti TC"/>
          <w:sz w:val="19"/>
        </w:rPr>
        <w:t>买方应自行或指定第三方承运人前往卖方指定地点提取货物。货物按照本合同约定的</w:t>
      </w:r>
      <w:r>
        <w:rPr>
          <w:rFonts w:ascii="Times New Roman;Times;serif" w:hAnsi="Times New Roman;Times;serif"/>
          <w:sz w:val="19"/>
        </w:rPr>
        <w:t>EXW</w:t>
      </w:r>
      <w:r>
        <w:rPr>
          <w:rFonts w:eastAsia="Songti TC"/>
          <w:sz w:val="19"/>
        </w:rPr>
        <w:t>交货条件完成交付时，相关货物即视为由买方接受，该货物的全部所有权以及灭失、损坏、盗窃或其他风险同时转移至买方。买方支付全部合同价款本身不构成货物所有权或风险的转移。</w:t>
      </w:r>
      <w:r>
        <w:rPr>
          <w:rFonts w:ascii="Times New Roman;Times;serif" w:hAnsi="Times New Roman;Times;serif"/>
          <w:sz w:val="19"/>
        </w:rPr>
        <w:br/>
        <w:br/>
      </w:r>
      <w:r>
        <w:rPr>
          <w:rFonts w:eastAsia="Songti TC"/>
          <w:sz w:val="19"/>
        </w:rPr>
        <w:t>除双方另有书面约定外，卖方无义务将货物装载至买方或其承运人的车辆。如卖方、仓库或工厂应买方要求协助装载，该等协助不改变本合同及</w:t>
      </w:r>
      <w:r>
        <w:rPr>
          <w:rFonts w:ascii="Times New Roman;Times;serif" w:hAnsi="Times New Roman;Times;serif"/>
          <w:sz w:val="19"/>
        </w:rPr>
        <w:t>EXW</w:t>
      </w:r>
      <w:r>
        <w:rPr>
          <w:rFonts w:eastAsia="Songti TC"/>
          <w:sz w:val="19"/>
        </w:rPr>
        <w:t>条件约定的交货、货权及风险分配。</w:t>
      </w:r>
    </w:p>
    <w:p>
      <w:pPr>
        <w:pStyle w:val="TextBody"/>
        <w:bidi w:val="0"/>
        <w:spacing w:before="0" w:after="120"/>
        <w:ind w:left="0" w:right="0" w:hanging="0"/>
        <w:jc w:val="left"/>
        <w:rPr>
          <w:rFonts w:ascii="Times New Roman;Times;serif" w:hAnsi="Times New Roman;Times;serif"/>
          <w:sz w:val="19"/>
        </w:rPr>
      </w:pPr>
      <w:r>
        <w:rPr>
          <w:rFonts w:ascii="Times New Roman;Times;serif" w:hAnsi="Times New Roman;Times;serif"/>
          <w:sz w:val="19"/>
        </w:rPr>
        <w:t>Buyer shall collect the Goods itself or through a designated third-party carrier. Upon completion of delivery under the EXW term, the applicable Goods shall be deemed accepted by Buyer and full legal and beneficial title to, and all risk of loss, damage, theft or other casualty affecting, such Goods shall simultaneously pass to Buyer. Payment of the full Contract Price shall not, by itself, transfer title or risk.</w:t>
        <w:br/>
        <w:br/>
        <w:t>Unless otherwise agreed in writing, Seller has no obligation to load the Goods onto Buyer's or its carrier's vehicle. Any loading assistance provided at Buyer's request shall not alter the agreed allocation of delivery, title or risk under this Contract and the EXW term.</w:t>
      </w:r>
    </w:p>
    <w:p>
      <w:pPr>
        <w:pStyle w:val="TextBody"/>
        <w:bidi w:val="0"/>
        <w:spacing w:before="0" w:after="120"/>
        <w:ind w:left="0" w:right="0" w:hanging="0"/>
        <w:jc w:val="left"/>
        <w:rPr/>
      </w:pPr>
      <w:r>
        <w:rPr>
          <w:rFonts w:ascii="Times New Roman;Times;serif" w:hAnsi="Times New Roman;Times;serif"/>
          <w:sz w:val="19"/>
        </w:rPr>
        <w:t xml:space="preserve">6. </w:t>
      </w:r>
      <w:r>
        <w:rPr>
          <w:rFonts w:eastAsia="Songti TC"/>
          <w:sz w:val="19"/>
        </w:rPr>
        <w:t>提货期限及仓储费用</w:t>
      </w:r>
      <w:r>
        <w:rPr>
          <w:rFonts w:eastAsia="Times New Roman;Times;serif"/>
          <w:sz w:val="18"/>
        </w:rPr>
        <w:t xml:space="preserve"> </w:t>
      </w:r>
      <w:r>
        <w:rPr>
          <w:rFonts w:ascii="Times New Roman;Times;serif" w:hAnsi="Times New Roman;Times;serif"/>
          <w:sz w:val="19"/>
        </w:rPr>
        <w:t>/ PICKUP PERIOD AND STORAGE CHARGES</w:t>
      </w:r>
    </w:p>
    <w:p>
      <w:pPr>
        <w:pStyle w:val="TextBody"/>
        <w:bidi w:val="0"/>
        <w:spacing w:before="0" w:after="120"/>
        <w:ind w:left="0" w:right="0" w:hanging="0"/>
        <w:jc w:val="left"/>
        <w:rPr/>
      </w:pPr>
      <w:r>
        <w:rPr>
          <w:rFonts w:eastAsia="Songti TC"/>
          <w:sz w:val="19"/>
        </w:rPr>
        <w:t>买方应在卖方收到全部合同价款之日起三十个自然日内安排提货，该期间不另行收取仓储费用。如买方未在该期限内完成提货，自第</w:t>
      </w:r>
      <w:r>
        <w:rPr>
          <w:rFonts w:ascii="Times New Roman;Times;serif" w:hAnsi="Times New Roman;Times;serif"/>
          <w:sz w:val="19"/>
        </w:rPr>
        <w:t>31</w:t>
      </w:r>
      <w:r>
        <w:rPr>
          <w:rFonts w:eastAsia="Songti TC"/>
          <w:sz w:val="19"/>
        </w:rPr>
        <w:t>个自然日起，卖方有权将因货物继续存放而实际产生的仓储费用及相关合理费用转由买方承担。</w:t>
      </w:r>
      <w:r>
        <w:rPr>
          <w:rFonts w:ascii="Times New Roman;Times;serif" w:hAnsi="Times New Roman;Times;serif"/>
          <w:sz w:val="19"/>
        </w:rPr>
        <w:br/>
        <w:br/>
      </w:r>
      <w:r>
        <w:rPr>
          <w:rFonts w:eastAsia="Songti TC"/>
          <w:sz w:val="19"/>
        </w:rPr>
        <w:t>买方未在上述三十日期限内提货，不构成卖方违约，亦不导致货物所有权或风险自动转移。货物可继续存放于指定地点直至买方安排提货并完成交付。所有应由买方承担的已产生仓储费用应在相关货物提取前结清。</w:t>
      </w:r>
    </w:p>
    <w:p>
      <w:pPr>
        <w:pStyle w:val="TextBody"/>
        <w:bidi w:val="0"/>
        <w:spacing w:before="0" w:after="120"/>
        <w:ind w:left="0" w:right="0" w:hanging="0"/>
        <w:jc w:val="left"/>
        <w:rPr>
          <w:rFonts w:ascii="Times New Roman;Times;serif" w:hAnsi="Times New Roman;Times;serif"/>
          <w:sz w:val="19"/>
        </w:rPr>
      </w:pPr>
      <w:r>
        <w:rPr>
          <w:rFonts w:ascii="Times New Roman;Times;serif" w:hAnsi="Times New Roman;Times;serif"/>
          <w:sz w:val="19"/>
        </w:rPr>
        <w:t>Buyer shall arrange collection within thirty (30) calendar days following Seller's receipt of full payment, with no separate storage charge during that period. Beginning on the thirty-first (31st) calendar day, Seller may pass through to Buyer the storage charges and other reasonable related costs actually incurred due to continued storage.</w:t>
        <w:br/>
        <w:br/>
        <w:t>Buyer's failure to collect the Goods within the above thirty (30)-day period shall not constitute a breach by Seller and shall not result in any automatic transfer of title or risk. The Goods may remain stored until Buyer arranges collection and delivery is completed. All accrued storage charges payable by Buyer shall be settled prior to collection.</w:t>
      </w:r>
    </w:p>
    <w:p>
      <w:pPr>
        <w:pStyle w:val="TextBody"/>
        <w:bidi w:val="0"/>
        <w:spacing w:before="0" w:after="120"/>
        <w:ind w:left="0" w:right="0" w:hanging="0"/>
        <w:jc w:val="left"/>
        <w:rPr/>
      </w:pPr>
      <w:r>
        <w:rPr>
          <w:rFonts w:ascii="Times New Roman;Times;serif" w:hAnsi="Times New Roman;Times;serif"/>
          <w:sz w:val="19"/>
        </w:rPr>
        <w:t xml:space="preserve">7. </w:t>
      </w:r>
      <w:r>
        <w:rPr>
          <w:rFonts w:eastAsia="Songti TC"/>
          <w:sz w:val="19"/>
        </w:rPr>
        <w:t>验货及接受</w:t>
      </w:r>
      <w:r>
        <w:rPr>
          <w:rFonts w:eastAsia="Times New Roman;Times;serif"/>
          <w:sz w:val="18"/>
        </w:rPr>
        <w:t xml:space="preserve"> </w:t>
      </w:r>
      <w:r>
        <w:rPr>
          <w:rFonts w:ascii="Times New Roman;Times;serif" w:hAnsi="Times New Roman;Times;serif"/>
          <w:sz w:val="19"/>
        </w:rPr>
        <w:t>/ INSPECTION AND ACCEPTANCE</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19"/>
        </w:rPr>
      </w:pPr>
      <w:r>
        <w:rPr>
          <w:rFonts w:ascii="Times New Roman;Times;serif" w:hAnsi="Times New Roman;Times;serif"/>
          <w:sz w:val="19"/>
        </w:rPr>
        <w:t>Page 2</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left"/>
        <w:rPr/>
      </w:pPr>
      <w:r>
        <w:rPr>
          <w:rFonts w:eastAsia="Songti TC"/>
          <w:sz w:val="19"/>
        </w:rPr>
        <w:t>买方在提货前有权自行或委托独立第三方对货物进行检查、核实和验货，相关费用由买方承担。如买方未进行验货而选择提货，则视为买方自愿放弃提货前验货权。完成相关货物的</w:t>
      </w:r>
      <w:r>
        <w:rPr>
          <w:rFonts w:ascii="Times New Roman;Times;serif" w:hAnsi="Times New Roman;Times;serif"/>
          <w:sz w:val="19"/>
        </w:rPr>
        <w:t>EXW</w:t>
      </w:r>
      <w:r>
        <w:rPr>
          <w:rFonts w:eastAsia="Songti TC"/>
          <w:sz w:val="19"/>
        </w:rPr>
        <w:t>交付即构成买方对该货物身份、数量及当时可合理观察到的货物状况的接受。</w:t>
      </w:r>
    </w:p>
    <w:p>
      <w:pPr>
        <w:pStyle w:val="TextBody"/>
        <w:bidi w:val="0"/>
        <w:spacing w:before="0" w:after="120"/>
        <w:ind w:left="0" w:right="0" w:hanging="0"/>
        <w:jc w:val="left"/>
        <w:rPr>
          <w:rFonts w:ascii="Times New Roman;Times;serif" w:hAnsi="Times New Roman;Times;serif"/>
          <w:sz w:val="19"/>
        </w:rPr>
      </w:pPr>
      <w:r>
        <w:rPr>
          <w:rFonts w:ascii="Times New Roman;Times;serif" w:hAnsi="Times New Roman;Times;serif"/>
          <w:sz w:val="19"/>
        </w:rPr>
        <w:t>Prior to collection, Buyer may, at its own cost, inspect and verify the Goods directly or through an independent third party. If Buyer collects without inspection, Buyer shall be deemed to have waived its right to pre-collection inspection. Completion of EXW delivery constitutes Buyer's acceptance of the identity, quantity and reasonably apparent condition of the applicable Goods.</w:t>
      </w:r>
    </w:p>
    <w:p>
      <w:pPr>
        <w:pStyle w:val="TextBody"/>
        <w:bidi w:val="0"/>
        <w:spacing w:before="0" w:after="120"/>
        <w:ind w:left="0" w:right="0" w:hanging="0"/>
        <w:jc w:val="left"/>
        <w:rPr/>
      </w:pPr>
      <w:r>
        <w:rPr>
          <w:rFonts w:ascii="Times New Roman;Times;serif" w:hAnsi="Times New Roman;Times;serif"/>
          <w:sz w:val="19"/>
        </w:rPr>
        <w:t xml:space="preserve">8. </w:t>
      </w:r>
      <w:r>
        <w:rPr>
          <w:rFonts w:eastAsia="Songti TC"/>
          <w:sz w:val="19"/>
        </w:rPr>
        <w:t>货物状况及保证</w:t>
      </w:r>
      <w:r>
        <w:rPr>
          <w:rFonts w:eastAsia="Times New Roman;Times;serif"/>
          <w:sz w:val="18"/>
        </w:rPr>
        <w:t xml:space="preserve"> </w:t>
      </w:r>
      <w:r>
        <w:rPr>
          <w:rFonts w:ascii="Times New Roman;Times;serif" w:hAnsi="Times New Roman;Times;serif"/>
          <w:sz w:val="19"/>
        </w:rPr>
        <w:t>/ CONDITION AND WARRANTY</w:t>
      </w:r>
    </w:p>
    <w:p>
      <w:pPr>
        <w:pStyle w:val="TextBody"/>
        <w:bidi w:val="0"/>
        <w:spacing w:before="0" w:after="120"/>
        <w:ind w:left="0" w:right="0" w:hanging="0"/>
        <w:jc w:val="left"/>
        <w:rPr>
          <w:rFonts w:eastAsia="Songti TC"/>
          <w:sz w:val="19"/>
        </w:rPr>
      </w:pPr>
      <w:r>
        <w:rPr>
          <w:rFonts w:eastAsia="Songti TC"/>
          <w:sz w:val="19"/>
        </w:rPr>
        <w:t>除本合同另有明确规定外，货物按照交付时的实际状态及所在地出售。在适用法律允许的最大范围内，卖方不对货物作出本合同未明确列明的其他明示或默示保证。卖方保证，在货物所有权转移时，卖方拥有出售及转让货物的合法权利；除已向买方书面披露的情况外，货物不存在卖方设立或知悉的未披露抵押、质押或其他权利负担。</w:t>
      </w:r>
    </w:p>
    <w:p>
      <w:pPr>
        <w:pStyle w:val="TextBody"/>
        <w:bidi w:val="0"/>
        <w:spacing w:before="0" w:after="120"/>
        <w:ind w:left="0" w:right="0" w:hanging="0"/>
        <w:jc w:val="left"/>
        <w:rPr>
          <w:rFonts w:ascii="Times New Roman;Times;serif" w:hAnsi="Times New Roman;Times;serif"/>
          <w:sz w:val="19"/>
        </w:rPr>
      </w:pPr>
      <w:r>
        <w:rPr>
          <w:rFonts w:ascii="Times New Roman;Times;serif" w:hAnsi="Times New Roman;Times;serif"/>
          <w:sz w:val="19"/>
        </w:rPr>
        <w:t>Except as expressly provided otherwise, the Goods are sold on an AS IS, WHERE IS basis in their condition existing at delivery. To the fullest extent permitted by applicable law, Seller makes no other express or implied warranty not stated in this Contract. Seller represents that at transfer of title it has lawful authority to sell and transfer the Goods and, except as disclosed in writing, the Goods are free from undisclosed liens, pledges or other encumbrances created by or known to Seller.</w:t>
      </w:r>
    </w:p>
    <w:p>
      <w:pPr>
        <w:pStyle w:val="TextBody"/>
        <w:bidi w:val="0"/>
        <w:spacing w:before="0" w:after="120"/>
        <w:ind w:left="0" w:right="0" w:hanging="0"/>
        <w:jc w:val="left"/>
        <w:rPr/>
      </w:pPr>
      <w:r>
        <w:rPr>
          <w:rFonts w:ascii="Times New Roman;Times;serif" w:hAnsi="Times New Roman;Times;serif"/>
          <w:sz w:val="19"/>
        </w:rPr>
        <w:t xml:space="preserve">9. </w:t>
      </w:r>
      <w:r>
        <w:rPr>
          <w:rFonts w:eastAsia="Songti TC"/>
          <w:sz w:val="19"/>
        </w:rPr>
        <w:t>后续运输及费用</w:t>
      </w:r>
      <w:r>
        <w:rPr>
          <w:rFonts w:eastAsia="Times New Roman;Times;serif"/>
          <w:sz w:val="18"/>
        </w:rPr>
        <w:t xml:space="preserve"> </w:t>
      </w:r>
      <w:r>
        <w:rPr>
          <w:rFonts w:ascii="Times New Roman;Times;serif" w:hAnsi="Times New Roman;Times;serif"/>
          <w:sz w:val="19"/>
        </w:rPr>
        <w:t>/ SUBSEQUENT TRANSPORTATION AND COSTS</w:t>
      </w:r>
    </w:p>
    <w:p>
      <w:pPr>
        <w:pStyle w:val="TextBody"/>
        <w:bidi w:val="0"/>
        <w:spacing w:before="0" w:after="120"/>
        <w:ind w:left="0" w:right="0" w:hanging="0"/>
        <w:jc w:val="left"/>
        <w:rPr/>
      </w:pPr>
      <w:r>
        <w:rPr>
          <w:rFonts w:eastAsia="Songti TC"/>
          <w:sz w:val="19"/>
        </w:rPr>
        <w:t>完成</w:t>
      </w:r>
      <w:r>
        <w:rPr>
          <w:rFonts w:ascii="Times New Roman;Times;serif" w:hAnsi="Times New Roman;Times;serif"/>
          <w:sz w:val="19"/>
        </w:rPr>
        <w:t>EXW</w:t>
      </w:r>
      <w:r>
        <w:rPr>
          <w:rFonts w:eastAsia="Songti TC"/>
          <w:sz w:val="19"/>
        </w:rPr>
        <w:t>交付后，买方负责货物后续的装卸、运输、出口、进口、报关、保险以及由此产生的所有费用、税费和风险，双方另有书面约定的除外。</w:t>
      </w:r>
    </w:p>
    <w:p>
      <w:pPr>
        <w:pStyle w:val="TextBody"/>
        <w:bidi w:val="0"/>
        <w:spacing w:before="0" w:after="120"/>
        <w:ind w:left="0" w:right="0" w:hanging="0"/>
        <w:jc w:val="left"/>
        <w:rPr>
          <w:rFonts w:ascii="Times New Roman;Times;serif" w:hAnsi="Times New Roman;Times;serif"/>
          <w:sz w:val="19"/>
        </w:rPr>
      </w:pPr>
      <w:r>
        <w:rPr>
          <w:rFonts w:ascii="Times New Roman;Times;serif" w:hAnsi="Times New Roman;Times;serif"/>
          <w:sz w:val="19"/>
        </w:rPr>
        <w:t>Following EXW delivery, Buyer shall be responsible for subsequent handling, transportation, export, import, customs clearance and insurance and all related costs, taxes, duties and risks, unless otherwise agreed in writing.</w:t>
      </w:r>
    </w:p>
    <w:p>
      <w:pPr>
        <w:pStyle w:val="TextBody"/>
        <w:bidi w:val="0"/>
        <w:spacing w:before="0" w:after="120"/>
        <w:ind w:left="0" w:right="0" w:hanging="0"/>
        <w:jc w:val="left"/>
        <w:rPr/>
      </w:pPr>
      <w:r>
        <w:rPr>
          <w:rFonts w:ascii="Times New Roman;Times;serif" w:hAnsi="Times New Roman;Times;serif"/>
          <w:sz w:val="19"/>
        </w:rPr>
        <w:t xml:space="preserve">10. </w:t>
      </w:r>
      <w:r>
        <w:rPr>
          <w:rFonts w:eastAsia="Songti TC"/>
          <w:sz w:val="19"/>
        </w:rPr>
        <w:t>买方未付款</w:t>
      </w:r>
      <w:r>
        <w:rPr>
          <w:rFonts w:eastAsia="Times New Roman;Times;serif"/>
          <w:sz w:val="18"/>
        </w:rPr>
        <w:t xml:space="preserve"> </w:t>
      </w:r>
      <w:r>
        <w:rPr>
          <w:rFonts w:ascii="Times New Roman;Times;serif" w:hAnsi="Times New Roman;Times;serif"/>
          <w:sz w:val="19"/>
        </w:rPr>
        <w:t>/ FAILURE BY BUYER TO PAY</w:t>
      </w:r>
    </w:p>
    <w:p>
      <w:pPr>
        <w:pStyle w:val="TextBody"/>
        <w:bidi w:val="0"/>
        <w:spacing w:before="0" w:after="120"/>
        <w:ind w:left="0" w:right="0" w:hanging="0"/>
        <w:jc w:val="left"/>
        <w:rPr>
          <w:rFonts w:eastAsia="Songti TC"/>
          <w:sz w:val="19"/>
        </w:rPr>
      </w:pPr>
      <w:r>
        <w:rPr>
          <w:rFonts w:eastAsia="Songti TC"/>
          <w:sz w:val="19"/>
        </w:rPr>
        <w:t>除卖方另行书面同意外，在卖方实际收到全部合同价款前，货物不视为已为买方保留。如买方未按约定完成付款，卖方有权暂停或终止交易，并有权出售或以其他方式处置货物。</w:t>
      </w:r>
    </w:p>
    <w:p>
      <w:pPr>
        <w:pStyle w:val="TextBody"/>
        <w:bidi w:val="0"/>
        <w:spacing w:before="0" w:after="120"/>
        <w:ind w:left="0" w:right="0" w:hanging="0"/>
        <w:jc w:val="left"/>
        <w:rPr>
          <w:rFonts w:ascii="Times New Roman;Times;serif" w:hAnsi="Times New Roman;Times;serif"/>
          <w:sz w:val="19"/>
        </w:rPr>
      </w:pPr>
      <w:r>
        <w:rPr>
          <w:rFonts w:ascii="Times New Roman;Times;serif" w:hAnsi="Times New Roman;Times;serif"/>
          <w:sz w:val="19"/>
        </w:rPr>
        <w:t>Unless Seller expressly agrees otherwise in writing, the Goods shall not be deemed reserved until Seller receives the full Contract Price. If Buyer fails to make payment as agreed, Seller may suspend or terminate the transaction and sell or otherwise dispose of the Goods.</w:t>
      </w:r>
    </w:p>
    <w:p>
      <w:pPr>
        <w:pStyle w:val="TextBody"/>
        <w:bidi w:val="0"/>
        <w:spacing w:before="0" w:after="120"/>
        <w:ind w:left="0" w:right="0" w:hanging="0"/>
        <w:jc w:val="left"/>
        <w:rPr/>
      </w:pPr>
      <w:r>
        <w:rPr>
          <w:rFonts w:ascii="Times New Roman;Times;serif" w:hAnsi="Times New Roman;Times;serif"/>
          <w:sz w:val="19"/>
        </w:rPr>
        <w:t xml:space="preserve">11. </w:t>
      </w:r>
      <w:r>
        <w:rPr>
          <w:rFonts w:eastAsia="Songti TC"/>
          <w:sz w:val="19"/>
        </w:rPr>
        <w:t>卖方收款后的义务</w:t>
      </w:r>
      <w:r>
        <w:rPr>
          <w:rFonts w:eastAsia="Times New Roman;Times;serif"/>
          <w:sz w:val="18"/>
        </w:rPr>
        <w:t xml:space="preserve"> </w:t>
      </w:r>
      <w:r>
        <w:rPr>
          <w:rFonts w:ascii="Times New Roman;Times;serif" w:hAnsi="Times New Roman;Times;serif"/>
          <w:sz w:val="19"/>
        </w:rPr>
        <w:t>/ SELLER'S OBLIGATIONS AFTER PAYMENT</w:t>
      </w:r>
    </w:p>
    <w:p>
      <w:pPr>
        <w:pStyle w:val="TextBody"/>
        <w:bidi w:val="0"/>
        <w:spacing w:before="0" w:after="120"/>
        <w:ind w:left="0" w:right="0" w:hanging="0"/>
        <w:jc w:val="left"/>
        <w:rPr>
          <w:rFonts w:eastAsia="Songti TC"/>
          <w:sz w:val="19"/>
        </w:rPr>
      </w:pPr>
      <w:r>
        <w:rPr>
          <w:rFonts w:eastAsia="Songti TC"/>
          <w:sz w:val="19"/>
        </w:rPr>
        <w:t>卖方收到全部合同价款后，应将本合同项下货物保留供买方提取，并在合理范围内配合买方进行货物识别及提货安排。在完成交付前，卖方不得将已经全额付款的货物再次出售、转让、质押或以其他方式处分给第三方。</w:t>
      </w:r>
    </w:p>
    <w:p>
      <w:pPr>
        <w:pStyle w:val="TextBody"/>
        <w:bidi w:val="0"/>
        <w:spacing w:before="0" w:after="120"/>
        <w:ind w:left="0" w:right="0" w:hanging="0"/>
        <w:jc w:val="left"/>
        <w:rPr>
          <w:rFonts w:ascii="Times New Roman;Times;serif" w:hAnsi="Times New Roman;Times;serif"/>
          <w:sz w:val="19"/>
        </w:rPr>
      </w:pPr>
      <w:r>
        <w:rPr>
          <w:rFonts w:ascii="Times New Roman;Times;serif" w:hAnsi="Times New Roman;Times;serif"/>
          <w:sz w:val="19"/>
        </w:rPr>
        <w:t>Following receipt of the full Contract Price, Seller shall hold the Goods for collection and reasonably cooperate with Buyer in identification and collection arrangements. Prior to delivery, Seller shall not resell, transfer, pledge or otherwise dispose of the fully paid Goods to a third party.</w:t>
      </w:r>
    </w:p>
    <w:p>
      <w:pPr>
        <w:pStyle w:val="TextBody"/>
        <w:bidi w:val="0"/>
        <w:spacing w:before="0" w:after="120"/>
        <w:ind w:left="0" w:right="0" w:hanging="0"/>
        <w:jc w:val="left"/>
        <w:rPr/>
      </w:pPr>
      <w:r>
        <w:rPr>
          <w:rFonts w:ascii="Times New Roman;Times;serif" w:hAnsi="Times New Roman;Times;serif"/>
          <w:sz w:val="19"/>
        </w:rPr>
        <w:t xml:space="preserve">12. </w:t>
      </w:r>
      <w:r>
        <w:rPr>
          <w:rFonts w:eastAsia="Songti TC"/>
          <w:sz w:val="19"/>
        </w:rPr>
        <w:t>不可抗力</w:t>
      </w:r>
      <w:r>
        <w:rPr>
          <w:rFonts w:eastAsia="Times New Roman;Times;serif"/>
          <w:sz w:val="18"/>
        </w:rPr>
        <w:t xml:space="preserve"> </w:t>
      </w:r>
      <w:r>
        <w:rPr>
          <w:rFonts w:ascii="Times New Roman;Times;serif" w:hAnsi="Times New Roman;Times;serif"/>
          <w:sz w:val="19"/>
        </w:rPr>
        <w:t>/ FORCE MAJEURE</w:t>
      </w:r>
    </w:p>
    <w:p>
      <w:pPr>
        <w:pStyle w:val="TextBody"/>
        <w:bidi w:val="0"/>
        <w:spacing w:before="0" w:after="120"/>
        <w:ind w:left="0" w:right="0" w:hanging="0"/>
        <w:jc w:val="left"/>
        <w:rPr>
          <w:rFonts w:eastAsia="Songti TC"/>
          <w:sz w:val="19"/>
        </w:rPr>
      </w:pPr>
      <w:r>
        <w:rPr>
          <w:rFonts w:eastAsia="Songti TC"/>
          <w:sz w:val="19"/>
        </w:rPr>
        <w:t>任何一方因其合理控制范围以外的事件，包括自然灾害、火灾、洪水、战争、政府行为、禁运、罢工、重大交通中断或其他无法合理预见或避免的事件而无法或延迟履行本合同义务的，在受影响范围内不承担违约责任。</w:t>
      </w:r>
    </w:p>
    <w:p>
      <w:pPr>
        <w:pStyle w:val="TextBody"/>
        <w:bidi w:val="0"/>
        <w:spacing w:before="0" w:after="120"/>
        <w:ind w:left="0" w:right="0" w:hanging="0"/>
        <w:jc w:val="left"/>
        <w:rPr>
          <w:rFonts w:ascii="Times New Roman;Times;serif" w:hAnsi="Times New Roman;Times;serif"/>
          <w:sz w:val="19"/>
        </w:rPr>
      </w:pPr>
      <w:r>
        <w:rPr>
          <w:rFonts w:ascii="Times New Roman;Times;serif" w:hAnsi="Times New Roman;Times;serif"/>
          <w:sz w:val="19"/>
        </w:rPr>
        <w:t>Neither Party shall be liable for failure or delay caused by events beyond its reasonable control, including natural disasters, fire, flood, war, governmental action, embargo, strikes, major transportation disruptions or other events that could not reasonably have been foreseen or avoided.</w:t>
      </w:r>
    </w:p>
    <w:p>
      <w:pPr>
        <w:pStyle w:val="TextBody"/>
        <w:bidi w:val="0"/>
        <w:spacing w:before="0" w:after="120"/>
        <w:ind w:left="0" w:right="0" w:hanging="0"/>
        <w:jc w:val="left"/>
        <w:rPr/>
      </w:pPr>
      <w:r>
        <w:rPr>
          <w:rFonts w:ascii="Times New Roman;Times;serif" w:hAnsi="Times New Roman;Times;serif"/>
          <w:sz w:val="19"/>
        </w:rPr>
        <w:t xml:space="preserve">13. </w:t>
      </w:r>
      <w:r>
        <w:rPr>
          <w:rFonts w:eastAsia="Songti TC"/>
          <w:sz w:val="19"/>
        </w:rPr>
        <w:t>适用法律</w:t>
      </w:r>
      <w:r>
        <w:rPr>
          <w:rFonts w:eastAsia="Times New Roman;Times;serif"/>
          <w:sz w:val="18"/>
        </w:rPr>
        <w:t xml:space="preserve"> </w:t>
      </w:r>
      <w:r>
        <w:rPr>
          <w:rFonts w:ascii="Times New Roman;Times;serif" w:hAnsi="Times New Roman;Times;serif"/>
          <w:sz w:val="19"/>
        </w:rPr>
        <w:t>/ GOVERNING LAW</w:t>
      </w:r>
    </w:p>
    <w:p>
      <w:pPr>
        <w:pStyle w:val="TextBody"/>
        <w:bidi w:val="0"/>
        <w:spacing w:before="0" w:after="120"/>
        <w:ind w:left="0" w:right="0" w:hanging="0"/>
        <w:jc w:val="left"/>
        <w:rPr>
          <w:rFonts w:eastAsia="Songti TC"/>
          <w:sz w:val="19"/>
        </w:rPr>
      </w:pPr>
      <w:r>
        <w:rPr>
          <w:rFonts w:eastAsia="Songti TC"/>
          <w:sz w:val="19"/>
        </w:rPr>
        <w:t>本合同及因本合同引起或与本合同有关的任何非合同义务均受香港特别行政区法律管辖并按其解释。</w:t>
      </w:r>
    </w:p>
    <w:p>
      <w:pPr>
        <w:pStyle w:val="TextBody"/>
        <w:bidi w:val="0"/>
        <w:spacing w:before="0" w:after="120"/>
        <w:ind w:left="0" w:right="0" w:hanging="0"/>
        <w:jc w:val="left"/>
        <w:rPr/>
      </w:pPr>
      <w:r>
        <w:rPr/>
        <w:t>​</w:t>
      </w:r>
    </w:p>
    <w:p>
      <w:pPr>
        <w:pStyle w:val="TextBody"/>
        <w:bidi w:val="0"/>
        <w:spacing w:before="480" w:after="0"/>
        <w:ind w:left="0" w:right="0" w:hanging="0"/>
        <w:jc w:val="center"/>
        <w:rPr>
          <w:rFonts w:ascii="Times New Roman;Times;serif" w:hAnsi="Times New Roman;Times;serif"/>
          <w:sz w:val="19"/>
        </w:rPr>
      </w:pPr>
      <w:r>
        <w:rPr>
          <w:rFonts w:ascii="Times New Roman;Times;serif" w:hAnsi="Times New Roman;Times;serif"/>
          <w:sz w:val="19"/>
        </w:rPr>
        <w:t>Page 3</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left"/>
        <w:rPr>
          <w:rFonts w:ascii="Times New Roman;Times;serif" w:hAnsi="Times New Roman;Times;serif"/>
          <w:sz w:val="19"/>
        </w:rPr>
      </w:pPr>
      <w:r>
        <w:rPr>
          <w:rFonts w:ascii="Times New Roman;Times;serif" w:hAnsi="Times New Roman;Times;serif"/>
          <w:sz w:val="19"/>
        </w:rPr>
        <w:t>This Contract and any non-contractual obligations arising out of or in connection with it shall be governed by and construed in accordance with the laws of the Hong Kong Special Administrative Region.</w:t>
      </w:r>
    </w:p>
    <w:p>
      <w:pPr>
        <w:pStyle w:val="TextBody"/>
        <w:bidi w:val="0"/>
        <w:spacing w:before="0" w:after="120"/>
        <w:ind w:left="0" w:right="0" w:hanging="0"/>
        <w:jc w:val="left"/>
        <w:rPr/>
      </w:pPr>
      <w:r>
        <w:rPr>
          <w:rFonts w:ascii="Times New Roman;Times;serif" w:hAnsi="Times New Roman;Times;serif"/>
          <w:sz w:val="19"/>
        </w:rPr>
        <w:t xml:space="preserve">14. </w:t>
      </w:r>
      <w:r>
        <w:rPr>
          <w:rFonts w:eastAsia="Songti TC"/>
          <w:sz w:val="19"/>
        </w:rPr>
        <w:t>争议解决</w:t>
      </w:r>
      <w:r>
        <w:rPr>
          <w:rFonts w:eastAsia="Times New Roman;Times;serif"/>
          <w:sz w:val="18"/>
        </w:rPr>
        <w:t xml:space="preserve"> </w:t>
      </w:r>
      <w:r>
        <w:rPr>
          <w:rFonts w:ascii="Times New Roman;Times;serif" w:hAnsi="Times New Roman;Times;serif"/>
          <w:sz w:val="19"/>
        </w:rPr>
        <w:t>/ DISPUTE RESOLUTION</w:t>
      </w:r>
    </w:p>
    <w:p>
      <w:pPr>
        <w:pStyle w:val="TextBody"/>
        <w:bidi w:val="0"/>
        <w:spacing w:before="0" w:after="120"/>
        <w:ind w:left="0" w:right="0" w:hanging="0"/>
        <w:jc w:val="left"/>
        <w:rPr>
          <w:rFonts w:eastAsia="Songti TC"/>
          <w:sz w:val="19"/>
        </w:rPr>
      </w:pPr>
      <w:r>
        <w:rPr>
          <w:rFonts w:eastAsia="Songti TC"/>
          <w:sz w:val="19"/>
        </w:rPr>
        <w:t>因本合同引起或与本合同有关的任何争议，双方应首先通过友好协商解决。如无法解决，应提交香港国际仲裁中心，按照提交仲裁通知时有效的机构仲裁规则进行最终仲裁。仲裁地为香港，仲裁语言为英文，仲裁裁决为终局并对双方具有约束力。</w:t>
      </w:r>
    </w:p>
    <w:p>
      <w:pPr>
        <w:pStyle w:val="TextBody"/>
        <w:bidi w:val="0"/>
        <w:spacing w:before="0" w:after="120"/>
        <w:ind w:left="0" w:right="0" w:hanging="0"/>
        <w:jc w:val="left"/>
        <w:rPr>
          <w:rFonts w:ascii="Times New Roman;Times;serif" w:hAnsi="Times New Roman;Times;serif"/>
          <w:sz w:val="19"/>
        </w:rPr>
      </w:pPr>
      <w:r>
        <w:rPr>
          <w:rFonts w:ascii="Times New Roman;Times;serif" w:hAnsi="Times New Roman;Times;serif"/>
          <w:sz w:val="19"/>
        </w:rPr>
        <w:t>Any dispute arising out of or relating to this Contract shall first be resolved through good-faith negotiations. If unresolved, it shall be finally resolved by arbitration administered by the Hong Kong International Arbitration Centre under its rules in force when the Notice of Arbitration is submitted. The seat shall be Hong Kong, the language shall be English, and the award shall be final and binding.</w:t>
      </w:r>
    </w:p>
    <w:p>
      <w:pPr>
        <w:pStyle w:val="TextBody"/>
        <w:bidi w:val="0"/>
        <w:spacing w:before="0" w:after="120"/>
        <w:ind w:left="0" w:right="0" w:hanging="0"/>
        <w:jc w:val="left"/>
        <w:rPr/>
      </w:pPr>
      <w:r>
        <w:rPr>
          <w:rFonts w:ascii="Times New Roman;Times;serif" w:hAnsi="Times New Roman;Times;serif"/>
          <w:sz w:val="19"/>
        </w:rPr>
        <w:t xml:space="preserve">15. </w:t>
      </w:r>
      <w:r>
        <w:rPr>
          <w:rFonts w:eastAsia="Songti TC"/>
          <w:sz w:val="19"/>
        </w:rPr>
        <w:t>完整协议及修改</w:t>
      </w:r>
      <w:r>
        <w:rPr>
          <w:rFonts w:eastAsia="Times New Roman;Times;serif"/>
          <w:sz w:val="18"/>
        </w:rPr>
        <w:t xml:space="preserve"> </w:t>
      </w:r>
      <w:r>
        <w:rPr>
          <w:rFonts w:ascii="Times New Roman;Times;serif" w:hAnsi="Times New Roman;Times;serif"/>
          <w:sz w:val="19"/>
        </w:rPr>
        <w:t>/ ENTIRE AGREEMENT AND AMENDMENTS</w:t>
      </w:r>
    </w:p>
    <w:p>
      <w:pPr>
        <w:pStyle w:val="TextBody"/>
        <w:bidi w:val="0"/>
        <w:spacing w:before="0" w:after="120"/>
        <w:ind w:left="0" w:right="0" w:hanging="0"/>
        <w:jc w:val="left"/>
        <w:rPr>
          <w:rFonts w:eastAsia="Songti TC"/>
          <w:sz w:val="19"/>
        </w:rPr>
      </w:pPr>
      <w:r>
        <w:rPr>
          <w:rFonts w:eastAsia="Songti TC"/>
          <w:sz w:val="19"/>
        </w:rPr>
        <w:t>本合同及其附件构成双方就本交易事项达成的完整协议。任何修改、补充或豁免均应以书面形式作出并经双方授权代表确认。</w:t>
      </w:r>
    </w:p>
    <w:p>
      <w:pPr>
        <w:pStyle w:val="TextBody"/>
        <w:bidi w:val="0"/>
        <w:spacing w:before="0" w:after="120"/>
        <w:ind w:left="0" w:right="0" w:hanging="0"/>
        <w:jc w:val="left"/>
        <w:rPr>
          <w:rFonts w:ascii="Times New Roman;Times;serif" w:hAnsi="Times New Roman;Times;serif"/>
          <w:sz w:val="19"/>
        </w:rPr>
      </w:pPr>
      <w:r>
        <w:rPr>
          <w:rFonts w:ascii="Times New Roman;Times;serif" w:hAnsi="Times New Roman;Times;serif"/>
          <w:sz w:val="19"/>
        </w:rPr>
        <w:t>This Contract and its Annexes constitute the entire agreement concerning the transaction. Any amendment, supplement or waiver shall be made in writing and confirmed by authorized representatives of both Parties.</w:t>
      </w:r>
    </w:p>
    <w:p>
      <w:pPr>
        <w:pStyle w:val="TextBody"/>
        <w:bidi w:val="0"/>
        <w:spacing w:before="0" w:after="120"/>
        <w:ind w:left="0" w:right="0" w:hanging="0"/>
        <w:jc w:val="left"/>
        <w:rPr/>
      </w:pPr>
      <w:r>
        <w:rPr>
          <w:rFonts w:ascii="Times New Roman;Times;serif" w:hAnsi="Times New Roman;Times;serif"/>
          <w:sz w:val="19"/>
        </w:rPr>
        <w:t xml:space="preserve">16. </w:t>
      </w:r>
      <w:r>
        <w:rPr>
          <w:rFonts w:eastAsia="Songti TC"/>
          <w:sz w:val="19"/>
        </w:rPr>
        <w:t>合同文本及效力</w:t>
      </w:r>
      <w:r>
        <w:rPr>
          <w:rFonts w:eastAsia="Times New Roman;Times;serif"/>
          <w:sz w:val="18"/>
        </w:rPr>
        <w:t xml:space="preserve"> </w:t>
      </w:r>
      <w:r>
        <w:rPr>
          <w:rFonts w:ascii="Times New Roman;Times;serif" w:hAnsi="Times New Roman;Times;serif"/>
          <w:sz w:val="19"/>
        </w:rPr>
        <w:t>/ LANGUAGE AND EFFECTIVENESS</w:t>
      </w:r>
    </w:p>
    <w:p>
      <w:pPr>
        <w:pStyle w:val="TextBody"/>
        <w:bidi w:val="0"/>
        <w:spacing w:before="0" w:after="120"/>
        <w:ind w:left="0" w:right="0" w:hanging="0"/>
        <w:jc w:val="left"/>
        <w:rPr>
          <w:rFonts w:eastAsia="Songti TC"/>
          <w:sz w:val="19"/>
        </w:rPr>
      </w:pPr>
      <w:r>
        <w:rPr>
          <w:rFonts w:eastAsia="Songti TC"/>
          <w:sz w:val="19"/>
        </w:rPr>
        <w:t>本合同以中文及英文书就。如两种文本之间存在不一致或解释冲突，以英文文本为准。本合同可采用电子签名、扫描件或电子方式交换的签署页签署，并具有与原件相同的效力。</w:t>
      </w:r>
    </w:p>
    <w:p>
      <w:pPr>
        <w:pStyle w:val="TextBody"/>
        <w:bidi w:val="0"/>
        <w:spacing w:before="0" w:after="120"/>
        <w:ind w:left="0" w:right="0" w:hanging="0"/>
        <w:jc w:val="left"/>
        <w:rPr>
          <w:rFonts w:ascii="Times New Roman;Times;serif" w:hAnsi="Times New Roman;Times;serif"/>
          <w:sz w:val="19"/>
        </w:rPr>
      </w:pPr>
      <w:r>
        <w:rPr>
          <w:rFonts w:ascii="Times New Roman;Times;serif" w:hAnsi="Times New Roman;Times;serif"/>
          <w:sz w:val="19"/>
        </w:rPr>
        <w:t>This Contract is executed in Chinese and English. In case of inconsistency or conflict, the English version shall prevail. Electronic signatures, scanned copies and electronically exchanged signature pages shall have the same effect as originals.</w:t>
      </w:r>
    </w:p>
    <w:p>
      <w:pPr>
        <w:pStyle w:val="TextBody"/>
        <w:bidi w:val="0"/>
        <w:spacing w:before="0" w:after="120"/>
        <w:ind w:left="0" w:right="0" w:hanging="0"/>
        <w:jc w:val="left"/>
        <w:rPr/>
      </w:pPr>
      <w:r>
        <w:rPr>
          <w:rFonts w:ascii="Times New Roman;Times;serif" w:hAnsi="Times New Roman;Times;serif"/>
          <w:sz w:val="19"/>
        </w:rPr>
        <w:t xml:space="preserve">17. </w:t>
      </w:r>
      <w:r>
        <w:rPr>
          <w:rFonts w:eastAsia="Songti TC"/>
          <w:sz w:val="19"/>
        </w:rPr>
        <w:t>签署</w:t>
      </w:r>
      <w:r>
        <w:rPr>
          <w:rFonts w:eastAsia="Times New Roman;Times;serif"/>
          <w:sz w:val="18"/>
        </w:rPr>
        <w:t xml:space="preserve"> </w:t>
      </w:r>
      <w:r>
        <w:rPr>
          <w:rFonts w:ascii="Times New Roman;Times;serif" w:hAnsi="Times New Roman;Times;serif"/>
          <w:sz w:val="19"/>
        </w:rPr>
        <w:t>/ SIGNATURES</w:t>
      </w:r>
    </w:p>
    <w:p>
      <w:pPr>
        <w:pStyle w:val="TextBody"/>
        <w:bidi w:val="0"/>
        <w:spacing w:before="0" w:after="120"/>
        <w:ind w:left="0" w:right="0" w:hanging="0"/>
        <w:jc w:val="left"/>
        <w:rPr>
          <w:rFonts w:eastAsia="Songti TC"/>
          <w:sz w:val="19"/>
        </w:rPr>
      </w:pPr>
      <w:r>
        <w:rPr>
          <w:rFonts w:eastAsia="Songti TC"/>
          <w:sz w:val="19"/>
        </w:rPr>
        <w:t>双方授权代表于本合同首页所载日期签署本合同。</w:t>
      </w:r>
    </w:p>
    <w:p>
      <w:pPr>
        <w:pStyle w:val="TextBody"/>
        <w:bidi w:val="0"/>
        <w:spacing w:before="0" w:after="120"/>
        <w:ind w:left="0" w:right="0" w:hanging="0"/>
        <w:jc w:val="left"/>
        <w:rPr>
          <w:rFonts w:ascii="Times New Roman;Times;serif" w:hAnsi="Times New Roman;Times;serif"/>
          <w:sz w:val="19"/>
        </w:rPr>
      </w:pPr>
      <w:r>
        <w:rPr>
          <w:rFonts w:ascii="Times New Roman;Times;serif" w:hAnsi="Times New Roman;Times;serif"/>
          <w:sz w:val="19"/>
        </w:rPr>
        <w:t>The authorized representatives of the Parties have executed this Contract as of the date first written above.</w:t>
      </w:r>
    </w:p>
    <w:tbl>
      <w:tblPr>
        <w:tblW w:w="6868" w:type="dxa"/>
        <w:jc w:val="center"/>
        <w:tblInd w:w="0" w:type="dxa"/>
        <w:tblLayout w:type="fixed"/>
        <w:tblCellMar>
          <w:top w:w="28" w:type="dxa"/>
          <w:left w:w="28" w:type="dxa"/>
          <w:bottom w:w="0" w:type="dxa"/>
          <w:right w:w="0" w:type="dxa"/>
        </w:tblCellMar>
      </w:tblPr>
      <w:tblGrid>
        <w:gridCol w:w="124"/>
        <w:gridCol w:w="4036"/>
        <w:gridCol w:w="109"/>
        <w:gridCol w:w="109"/>
        <w:gridCol w:w="2269"/>
        <w:gridCol w:w="221"/>
      </w:tblGrid>
      <w:tr>
        <w:trPr/>
        <w:tc>
          <w:tcPr>
            <w:tcW w:w="124" w:type="dxa"/>
            <w:tcBorders>
              <w:top w:val="single" w:sz="2" w:space="0" w:color="000000"/>
              <w:left w:val="single" w:sz="2" w:space="0" w:color="000000"/>
            </w:tcBorders>
            <w:vAlign w:val="center"/>
          </w:tcPr>
          <w:p>
            <w:pPr>
              <w:pStyle w:val="TableContents"/>
              <w:bidi w:val="0"/>
              <w:spacing w:before="0" w:after="0"/>
              <w:ind w:left="0" w:right="0" w:hanging="0"/>
              <w:jc w:val="left"/>
              <w:rPr/>
            </w:pPr>
            <w:r>
              <w:rPr/>
              <w:t>​</w:t>
            </w:r>
          </w:p>
        </w:tc>
        <w:tc>
          <w:tcPr>
            <w:tcW w:w="4036" w:type="dxa"/>
            <w:tcBorders>
              <w:top w:val="single" w:sz="2" w:space="0" w:color="000000"/>
            </w:tcBorders>
            <w:tcMar>
              <w:left w:w="0" w:type="dxa"/>
            </w:tcMar>
            <w:vAlign w:val="center"/>
          </w:tcPr>
          <w:p>
            <w:pPr>
              <w:pStyle w:val="TableContents"/>
              <w:bidi w:val="0"/>
              <w:spacing w:before="0" w:after="0"/>
              <w:ind w:left="0" w:right="0" w:hanging="0"/>
              <w:jc w:val="left"/>
              <w:rPr/>
            </w:pPr>
            <w:r>
              <w:rPr>
                <w:rFonts w:eastAsia="Songti TC"/>
                <w:sz w:val="19"/>
              </w:rPr>
              <w:t>卖方</w:t>
            </w:r>
            <w:r>
              <w:rPr>
                <w:rFonts w:eastAsia="Times New Roman;Times;serif"/>
                <w:sz w:val="18"/>
              </w:rPr>
              <w:t xml:space="preserve"> </w:t>
            </w:r>
            <w:r>
              <w:rPr>
                <w:rFonts w:ascii="Times New Roman;Times;serif" w:hAnsi="Times New Roman;Times;serif"/>
                <w:sz w:val="19"/>
              </w:rPr>
              <w:t>/ SELLER</w:t>
            </w:r>
          </w:p>
        </w:tc>
        <w:tc>
          <w:tcPr>
            <w:tcW w:w="109" w:type="dxa"/>
            <w:tcBorders>
              <w:top w:val="single" w:sz="2" w:space="0" w:color="000000"/>
              <w:right w:val="single" w:sz="2" w:space="0" w:color="000000"/>
            </w:tcBorders>
            <w:tcMar>
              <w:left w:w="0" w:type="dxa"/>
              <w:right w:w="28" w:type="dxa"/>
            </w:tcMar>
            <w:vAlign w:val="center"/>
          </w:tcPr>
          <w:p>
            <w:pPr>
              <w:pStyle w:val="TableContents"/>
              <w:bidi w:val="0"/>
              <w:spacing w:before="0" w:after="0"/>
              <w:ind w:left="0" w:right="0" w:hanging="0"/>
              <w:jc w:val="left"/>
              <w:rPr/>
            </w:pPr>
            <w:r>
              <w:rPr/>
              <w:t>​</w:t>
            </w:r>
          </w:p>
        </w:tc>
        <w:tc>
          <w:tcPr>
            <w:tcW w:w="109" w:type="dxa"/>
            <w:tcBorders>
              <w:top w:val="single" w:sz="2" w:space="0" w:color="000000"/>
              <w:left w:val="single" w:sz="2" w:space="0" w:color="000000"/>
            </w:tcBorders>
            <w:vAlign w:val="center"/>
          </w:tcPr>
          <w:p>
            <w:pPr>
              <w:pStyle w:val="TableContents"/>
              <w:bidi w:val="0"/>
              <w:spacing w:before="0" w:after="0"/>
              <w:ind w:left="0" w:right="0" w:hanging="0"/>
              <w:jc w:val="left"/>
              <w:rPr/>
            </w:pPr>
            <w:r>
              <w:rPr/>
              <w:t>​</w:t>
            </w:r>
          </w:p>
        </w:tc>
        <w:tc>
          <w:tcPr>
            <w:tcW w:w="2490" w:type="dxa"/>
            <w:gridSpan w:val="2"/>
            <w:tcBorders>
              <w:top w:val="single" w:sz="2" w:space="0" w:color="000000"/>
              <w:right w:val="single" w:sz="2" w:space="0" w:color="000000"/>
            </w:tcBorders>
            <w:tcMar>
              <w:left w:w="0" w:type="dxa"/>
              <w:right w:w="28" w:type="dxa"/>
            </w:tcMar>
            <w:vAlign w:val="center"/>
          </w:tcPr>
          <w:p>
            <w:pPr>
              <w:pStyle w:val="TableContents"/>
              <w:bidi w:val="0"/>
              <w:spacing w:before="0" w:after="0"/>
              <w:ind w:left="0" w:right="0" w:hanging="0"/>
              <w:jc w:val="left"/>
              <w:rPr/>
            </w:pPr>
            <w:r>
              <w:rPr>
                <w:rFonts w:eastAsia="Songti TC"/>
                <w:sz w:val="19"/>
              </w:rPr>
              <w:t>买方</w:t>
            </w:r>
            <w:r>
              <w:rPr>
                <w:rFonts w:eastAsia="Times New Roman;Times;serif"/>
                <w:sz w:val="18"/>
              </w:rPr>
              <w:t xml:space="preserve"> </w:t>
            </w:r>
            <w:r>
              <w:rPr>
                <w:rFonts w:ascii="Times New Roman;Times;serif" w:hAnsi="Times New Roman;Times;serif"/>
                <w:sz w:val="19"/>
              </w:rPr>
              <w:t>/ BUYER</w:t>
            </w:r>
          </w:p>
        </w:tc>
      </w:tr>
      <w:tr>
        <w:trPr/>
        <w:tc>
          <w:tcPr>
            <w:tcW w:w="124" w:type="dxa"/>
            <w:tcBorders>
              <w:left w:val="single" w:sz="2" w:space="0" w:color="000000"/>
            </w:tcBorders>
            <w:tcMar>
              <w:top w:w="0" w:type="dxa"/>
            </w:tcMar>
            <w:vAlign w:val="center"/>
          </w:tcPr>
          <w:p>
            <w:pPr>
              <w:pStyle w:val="TableContents"/>
              <w:bidi w:val="0"/>
              <w:spacing w:before="0" w:after="0"/>
              <w:ind w:left="0" w:right="0" w:hanging="0"/>
              <w:jc w:val="left"/>
              <w:rPr/>
            </w:pPr>
            <w:r>
              <w:rPr/>
              <w:t>​</w:t>
            </w:r>
          </w:p>
        </w:tc>
        <w:tc>
          <w:tcPr>
            <w:tcW w:w="4036" w:type="dxa"/>
            <w:tcBorders/>
            <w:tcMar>
              <w:top w:w="0" w:type="dxa"/>
              <w:left w:w="0" w:type="dxa"/>
            </w:tcMar>
            <w:vAlign w:val="center"/>
          </w:tcPr>
          <w:p>
            <w:pPr>
              <w:pStyle w:val="TableContents"/>
              <w:bidi w:val="0"/>
              <w:spacing w:before="0" w:after="0"/>
              <w:ind w:left="0" w:right="0" w:hanging="0"/>
              <w:jc w:val="left"/>
              <w:rPr>
                <w:rFonts w:eastAsia="Songti TC"/>
                <w:sz w:val="19"/>
              </w:rPr>
            </w:pPr>
            <w:r>
              <w:rPr>
                <w:rFonts w:eastAsia="Songti TC"/>
                <w:sz w:val="19"/>
              </w:rPr>
              <w:t>浩佳国际贸易有限公司</w:t>
            </w:r>
          </w:p>
        </w:tc>
        <w:tc>
          <w:tcPr>
            <w:tcW w:w="109" w:type="dxa"/>
            <w:tcBorders>
              <w:right w:val="single" w:sz="2" w:space="0" w:color="000000"/>
            </w:tcBorders>
            <w:tcMar>
              <w:top w:w="0" w:type="dxa"/>
              <w:left w:w="0" w:type="dxa"/>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top w:w="0" w:type="dxa"/>
            </w:tcMar>
            <w:vAlign w:val="center"/>
          </w:tcPr>
          <w:p>
            <w:pPr>
              <w:pStyle w:val="TableContents"/>
              <w:bidi w:val="0"/>
              <w:spacing w:before="0" w:after="0"/>
              <w:ind w:left="0" w:right="0" w:hanging="0"/>
              <w:jc w:val="left"/>
              <w:rPr/>
            </w:pPr>
            <w:r>
              <w:rPr/>
              <w:t>​</w:t>
            </w:r>
          </w:p>
        </w:tc>
        <w:tc>
          <w:tcPr>
            <w:tcW w:w="2490" w:type="dxa"/>
            <w:gridSpan w:val="2"/>
            <w:tcBorders>
              <w:right w:val="single" w:sz="2" w:space="0" w:color="000000"/>
            </w:tcBorders>
            <w:tcMar>
              <w:top w:w="0" w:type="dxa"/>
              <w:left w:w="0" w:type="dxa"/>
              <w:right w:w="28" w:type="dxa"/>
            </w:tcMar>
            <w:vAlign w:val="center"/>
          </w:tcPr>
          <w:p>
            <w:pPr>
              <w:pStyle w:val="TableContents"/>
              <w:bidi w:val="0"/>
              <w:spacing w:before="0" w:after="0"/>
              <w:ind w:left="0" w:right="0" w:hanging="0"/>
              <w:jc w:val="left"/>
              <w:rPr>
                <w:rFonts w:eastAsia="Songti TC"/>
                <w:sz w:val="19"/>
              </w:rPr>
            </w:pPr>
            <w:r>
              <w:rPr>
                <w:rFonts w:eastAsia="Songti TC"/>
                <w:sz w:val="19"/>
              </w:rPr>
              <w:t>捷进有限公司</w:t>
            </w:r>
          </w:p>
        </w:tc>
      </w:tr>
      <w:tr>
        <w:trPr/>
        <w:tc>
          <w:tcPr>
            <w:tcW w:w="124" w:type="dxa"/>
            <w:tcBorders>
              <w:left w:val="single" w:sz="2" w:space="0" w:color="000000"/>
            </w:tcBorders>
            <w:tcMar>
              <w:top w:w="0" w:type="dxa"/>
            </w:tcMar>
            <w:vAlign w:val="center"/>
          </w:tcPr>
          <w:p>
            <w:pPr>
              <w:pStyle w:val="TableContents"/>
              <w:bidi w:val="0"/>
              <w:spacing w:before="0" w:after="0"/>
              <w:ind w:left="0" w:right="0" w:hanging="0"/>
              <w:jc w:val="left"/>
              <w:rPr/>
            </w:pPr>
            <w:r>
              <w:rPr/>
              <w:t>​</w:t>
            </w:r>
          </w:p>
        </w:tc>
        <w:tc>
          <w:tcPr>
            <w:tcW w:w="4036" w:type="dxa"/>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SUPER INTERNATIONAL TRADING LIMITED</w:t>
            </w:r>
          </w:p>
        </w:tc>
        <w:tc>
          <w:tcPr>
            <w:tcW w:w="109" w:type="dxa"/>
            <w:tcBorders>
              <w:right w:val="single" w:sz="2" w:space="0" w:color="000000"/>
            </w:tcBorders>
            <w:tcMar>
              <w:top w:w="0" w:type="dxa"/>
              <w:left w:w="0" w:type="dxa"/>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top w:w="0" w:type="dxa"/>
            </w:tcMar>
            <w:vAlign w:val="center"/>
          </w:tcPr>
          <w:p>
            <w:pPr>
              <w:pStyle w:val="TableContents"/>
              <w:bidi w:val="0"/>
              <w:spacing w:before="0" w:after="0"/>
              <w:ind w:left="0" w:right="0" w:hanging="0"/>
              <w:jc w:val="left"/>
              <w:rPr/>
            </w:pPr>
            <w:r>
              <w:rPr/>
              <w:t>​</w:t>
            </w:r>
          </w:p>
        </w:tc>
        <w:tc>
          <w:tcPr>
            <w:tcW w:w="2490" w:type="dxa"/>
            <w:gridSpan w:val="2"/>
            <w:tcBorders>
              <w:right w:val="single" w:sz="2" w:space="0" w:color="000000"/>
            </w:tcBorders>
            <w:tcMar>
              <w:top w:w="0" w:type="dxa"/>
              <w:left w:w="0" w:type="dxa"/>
              <w:right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RAPID PROCEED LIMITED</w:t>
            </w:r>
          </w:p>
        </w:tc>
      </w:tr>
      <w:tr>
        <w:trPr/>
        <w:tc>
          <w:tcPr>
            <w:tcW w:w="124" w:type="dxa"/>
            <w:tcBorders>
              <w:left w:val="single" w:sz="2" w:space="0" w:color="000000"/>
            </w:tcBorders>
            <w:tcMar>
              <w:top w:w="0" w:type="dxa"/>
            </w:tcMar>
            <w:vAlign w:val="center"/>
          </w:tcPr>
          <w:p>
            <w:pPr>
              <w:pStyle w:val="TableContents"/>
              <w:bidi w:val="0"/>
              <w:spacing w:before="0" w:after="0"/>
              <w:ind w:left="0" w:right="0" w:hanging="0"/>
              <w:jc w:val="left"/>
              <w:rPr/>
            </w:pPr>
            <w:r>
              <w:rPr/>
              <w:t>​</w:t>
            </w:r>
          </w:p>
        </w:tc>
        <w:tc>
          <w:tcPr>
            <w:tcW w:w="4036" w:type="dxa"/>
            <w:tcBorders/>
            <w:tcMar>
              <w:top w:w="0" w:type="dxa"/>
              <w:left w:w="0" w:type="dxa"/>
            </w:tcMar>
            <w:vAlign w:val="center"/>
          </w:tcPr>
          <w:p>
            <w:pPr>
              <w:pStyle w:val="TableContents"/>
              <w:bidi w:val="0"/>
              <w:spacing w:before="0" w:after="0"/>
              <w:ind w:left="0" w:right="0" w:hanging="0"/>
              <w:jc w:val="left"/>
              <w:rPr/>
            </w:pPr>
            <w:r>
              <w:rPr/>
              <w:t>​</w:t>
            </w:r>
          </w:p>
        </w:tc>
        <w:tc>
          <w:tcPr>
            <w:tcW w:w="109" w:type="dxa"/>
            <w:tcBorders>
              <w:right w:val="single" w:sz="2" w:space="0" w:color="000000"/>
            </w:tcBorders>
            <w:tcMar>
              <w:top w:w="0" w:type="dxa"/>
              <w:left w:w="0" w:type="dxa"/>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top w:w="0" w:type="dxa"/>
            </w:tcMar>
            <w:vAlign w:val="center"/>
          </w:tcPr>
          <w:p>
            <w:pPr>
              <w:pStyle w:val="TableContents"/>
              <w:bidi w:val="0"/>
              <w:spacing w:before="0" w:after="0"/>
              <w:ind w:left="0" w:right="0" w:hanging="0"/>
              <w:jc w:val="left"/>
              <w:rPr/>
            </w:pPr>
            <w:r>
              <w:rPr/>
              <w:t>​</w:t>
            </w:r>
          </w:p>
        </w:tc>
        <w:tc>
          <w:tcPr>
            <w:tcW w:w="2490" w:type="dxa"/>
            <w:gridSpan w:val="2"/>
            <w:tcBorders>
              <w:right w:val="single" w:sz="2" w:space="0" w:color="000000"/>
            </w:tcBorders>
            <w:tcMar>
              <w:top w:w="0" w:type="dxa"/>
              <w:left w:w="0" w:type="dxa"/>
              <w:right w:w="28" w:type="dxa"/>
            </w:tcMar>
            <w:vAlign w:val="center"/>
          </w:tcPr>
          <w:p>
            <w:pPr>
              <w:pStyle w:val="TableContents"/>
              <w:bidi w:val="0"/>
              <w:spacing w:before="0" w:after="0"/>
              <w:ind w:left="0" w:right="0" w:hanging="0"/>
              <w:jc w:val="left"/>
              <w:rPr/>
            </w:pPr>
            <w:r>
              <w:rPr/>
              <w:t>​</w:t>
            </w:r>
          </w:p>
        </w:tc>
      </w:tr>
      <w:tr>
        <w:trPr/>
        <w:tc>
          <w:tcPr>
            <w:tcW w:w="124" w:type="dxa"/>
            <w:tcBorders>
              <w:left w:val="single" w:sz="2" w:space="0" w:color="000000"/>
            </w:tcBorders>
            <w:tcMar>
              <w:top w:w="0" w:type="dxa"/>
            </w:tcMar>
            <w:vAlign w:val="center"/>
          </w:tcPr>
          <w:p>
            <w:pPr>
              <w:pStyle w:val="TableContents"/>
              <w:bidi w:val="0"/>
              <w:spacing w:before="0" w:after="0"/>
              <w:ind w:left="0" w:right="0" w:hanging="0"/>
              <w:jc w:val="left"/>
              <w:rPr/>
            </w:pPr>
            <w:r>
              <w:rPr/>
              <w:t>​</w:t>
            </w:r>
          </w:p>
        </w:tc>
        <w:tc>
          <w:tcPr>
            <w:tcW w:w="4036" w:type="dxa"/>
            <w:tcBorders/>
            <w:tcMar>
              <w:top w:w="0" w:type="dxa"/>
              <w:left w:w="0" w:type="dxa"/>
            </w:tcMar>
            <w:vAlign w:val="center"/>
          </w:tcPr>
          <w:p>
            <w:pPr>
              <w:pStyle w:val="TableContents"/>
              <w:bidi w:val="0"/>
              <w:spacing w:before="0" w:after="0"/>
              <w:ind w:left="0" w:right="0" w:hanging="0"/>
              <w:jc w:val="left"/>
              <w:rPr>
                <w:rFonts w:eastAsia="Songti TC"/>
                <w:sz w:val="19"/>
              </w:rPr>
            </w:pPr>
            <w:r>
              <w:rPr>
                <w:rFonts w:eastAsia="Songti TC"/>
                <w:sz w:val="19"/>
              </w:rPr>
              <w:t>授权代表签字：</w:t>
            </w:r>
          </w:p>
        </w:tc>
        <w:tc>
          <w:tcPr>
            <w:tcW w:w="109" w:type="dxa"/>
            <w:tcBorders>
              <w:right w:val="single" w:sz="2" w:space="0" w:color="000000"/>
            </w:tcBorders>
            <w:tcMar>
              <w:top w:w="0" w:type="dxa"/>
              <w:left w:w="0" w:type="dxa"/>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top w:w="0" w:type="dxa"/>
            </w:tcMar>
            <w:vAlign w:val="center"/>
          </w:tcPr>
          <w:p>
            <w:pPr>
              <w:pStyle w:val="TableContents"/>
              <w:bidi w:val="0"/>
              <w:spacing w:before="0" w:after="0"/>
              <w:ind w:left="0" w:right="0" w:hanging="0"/>
              <w:jc w:val="left"/>
              <w:rPr/>
            </w:pPr>
            <w:r>
              <w:rPr/>
              <w:t>​</w:t>
            </w:r>
          </w:p>
        </w:tc>
        <w:tc>
          <w:tcPr>
            <w:tcW w:w="2490" w:type="dxa"/>
            <w:gridSpan w:val="2"/>
            <w:tcBorders>
              <w:right w:val="single" w:sz="2" w:space="0" w:color="000000"/>
            </w:tcBorders>
            <w:tcMar>
              <w:top w:w="0" w:type="dxa"/>
              <w:left w:w="0" w:type="dxa"/>
              <w:right w:w="28" w:type="dxa"/>
            </w:tcMar>
            <w:vAlign w:val="center"/>
          </w:tcPr>
          <w:p>
            <w:pPr>
              <w:pStyle w:val="TableContents"/>
              <w:bidi w:val="0"/>
              <w:spacing w:before="0" w:after="0"/>
              <w:ind w:left="0" w:right="0" w:hanging="0"/>
              <w:jc w:val="left"/>
              <w:rPr>
                <w:rFonts w:eastAsia="Songti TC"/>
                <w:sz w:val="19"/>
              </w:rPr>
            </w:pPr>
            <w:r>
              <w:rPr>
                <w:rFonts w:eastAsia="Songti TC"/>
                <w:sz w:val="19"/>
              </w:rPr>
              <w:t>授权代表签字：</w:t>
            </w:r>
          </w:p>
        </w:tc>
      </w:tr>
      <w:tr>
        <w:trPr/>
        <w:tc>
          <w:tcPr>
            <w:tcW w:w="124" w:type="dxa"/>
            <w:tcBorders>
              <w:left w:val="single" w:sz="2" w:space="0" w:color="000000"/>
            </w:tcBorders>
            <w:tcMar>
              <w:top w:w="0" w:type="dxa"/>
            </w:tcMar>
            <w:vAlign w:val="center"/>
          </w:tcPr>
          <w:p>
            <w:pPr>
              <w:pStyle w:val="TableContents"/>
              <w:bidi w:val="0"/>
              <w:spacing w:before="0" w:after="0"/>
              <w:ind w:left="0" w:right="0" w:hanging="0"/>
              <w:jc w:val="left"/>
              <w:rPr/>
            </w:pPr>
            <w:r>
              <w:rPr/>
              <w:t>​</w:t>
            </w:r>
          </w:p>
        </w:tc>
        <w:tc>
          <w:tcPr>
            <w:tcW w:w="4036" w:type="dxa"/>
            <w:tcBorders/>
            <w:tcMar>
              <w:top w:w="0" w:type="dxa"/>
              <w:left w:w="0" w:type="dxa"/>
            </w:tcMar>
            <w:vAlign w:val="center"/>
          </w:tcPr>
          <w:p>
            <w:pPr>
              <w:pStyle w:val="TableContents"/>
              <w:bidi w:val="0"/>
              <w:spacing w:before="0" w:after="0"/>
              <w:ind w:left="0" w:right="0" w:hanging="0"/>
              <w:jc w:val="left"/>
              <w:rPr/>
            </w:pPr>
            <w:r>
              <w:rPr/>
              <w:t>​</w:t>
            </w:r>
          </w:p>
        </w:tc>
        <w:tc>
          <w:tcPr>
            <w:tcW w:w="109" w:type="dxa"/>
            <w:tcBorders>
              <w:right w:val="single" w:sz="2" w:space="0" w:color="000000"/>
            </w:tcBorders>
            <w:tcMar>
              <w:top w:w="0" w:type="dxa"/>
              <w:left w:w="0" w:type="dxa"/>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top w:w="0" w:type="dxa"/>
            </w:tcMar>
            <w:vAlign w:val="center"/>
          </w:tcPr>
          <w:p>
            <w:pPr>
              <w:pStyle w:val="TableContents"/>
              <w:bidi w:val="0"/>
              <w:spacing w:before="0" w:after="0"/>
              <w:ind w:left="0" w:right="0" w:hanging="0"/>
              <w:jc w:val="left"/>
              <w:rPr/>
            </w:pPr>
            <w:r>
              <w:rPr/>
              <w:t>​</w:t>
            </w:r>
          </w:p>
        </w:tc>
        <w:tc>
          <w:tcPr>
            <w:tcW w:w="2490" w:type="dxa"/>
            <w:gridSpan w:val="2"/>
            <w:tcBorders>
              <w:right w:val="single" w:sz="2" w:space="0" w:color="000000"/>
            </w:tcBorders>
            <w:tcMar>
              <w:top w:w="0" w:type="dxa"/>
              <w:left w:w="0" w:type="dxa"/>
              <w:right w:w="28" w:type="dxa"/>
            </w:tcMar>
            <w:vAlign w:val="center"/>
          </w:tcPr>
          <w:p>
            <w:pPr>
              <w:pStyle w:val="TableContents"/>
              <w:bidi w:val="0"/>
              <w:spacing w:before="0" w:after="0"/>
              <w:ind w:left="0" w:right="0" w:hanging="0"/>
              <w:jc w:val="left"/>
              <w:rPr/>
            </w:pPr>
            <w:r>
              <w:rPr/>
              <w:t>​</w:t>
            </w:r>
          </w:p>
        </w:tc>
      </w:tr>
      <w:tr>
        <w:trPr/>
        <w:tc>
          <w:tcPr>
            <w:tcW w:w="124" w:type="dxa"/>
            <w:tcBorders>
              <w:left w:val="single" w:sz="2" w:space="0" w:color="000000"/>
            </w:tcBorders>
            <w:tcMar>
              <w:top w:w="0" w:type="dxa"/>
            </w:tcMar>
            <w:vAlign w:val="center"/>
          </w:tcPr>
          <w:p>
            <w:pPr>
              <w:pStyle w:val="TableContents"/>
              <w:bidi w:val="0"/>
              <w:spacing w:before="0" w:after="0"/>
              <w:ind w:left="0" w:right="0" w:hanging="0"/>
              <w:jc w:val="left"/>
              <w:rPr/>
            </w:pPr>
            <w:r>
              <w:rPr/>
              <w:t>​</w:t>
            </w:r>
          </w:p>
        </w:tc>
        <w:tc>
          <w:tcPr>
            <w:tcW w:w="4036" w:type="dxa"/>
            <w:tcBorders>
              <w:bottom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w:t>
            </w:r>
            <w:r>
              <w:rPr>
                <w:rFonts w:ascii="Times New Roman;Times;serif" w:hAnsi="Times New Roman;Times;serif"/>
                <w:sz w:val="20"/>
              </w:rPr>
              <w:t>s/ Company Stamp</w:t>
            </w:r>
          </w:p>
        </w:tc>
        <w:tc>
          <w:tcPr>
            <w:tcW w:w="109" w:type="dxa"/>
            <w:tcBorders>
              <w:right w:val="single" w:sz="2" w:space="0" w:color="000000"/>
            </w:tcBorders>
            <w:tcMar>
              <w:top w:w="0" w:type="dxa"/>
              <w:left w:w="0" w:type="dxa"/>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top w:w="0" w:type="dxa"/>
            </w:tcMar>
            <w:vAlign w:val="center"/>
          </w:tcPr>
          <w:p>
            <w:pPr>
              <w:pStyle w:val="TableContents"/>
              <w:bidi w:val="0"/>
              <w:spacing w:before="0" w:after="0"/>
              <w:ind w:left="0" w:right="0" w:hanging="0"/>
              <w:jc w:val="left"/>
              <w:rPr/>
            </w:pPr>
            <w:r>
              <w:rPr/>
              <w:t>​</w:t>
            </w:r>
          </w:p>
        </w:tc>
        <w:tc>
          <w:tcPr>
            <w:tcW w:w="2269" w:type="dxa"/>
            <w:tcBorders>
              <w:bottom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w:t>
            </w:r>
            <w:r>
              <w:rPr>
                <w:rFonts w:ascii="Times New Roman;Times;serif" w:hAnsi="Times New Roman;Times;serif"/>
                <w:sz w:val="20"/>
              </w:rPr>
              <w:t>s/ Huoyuan Chen</w:t>
            </w:r>
          </w:p>
        </w:tc>
        <w:tc>
          <w:tcPr>
            <w:tcW w:w="221" w:type="dxa"/>
            <w:tcBorders>
              <w:right w:val="single" w:sz="2" w:space="0" w:color="000000"/>
            </w:tcBorders>
            <w:tcMar>
              <w:top w:w="0" w:type="dxa"/>
              <w:left w:w="0" w:type="dxa"/>
              <w:right w:w="28" w:type="dxa"/>
            </w:tcMar>
            <w:vAlign w:val="center"/>
          </w:tcPr>
          <w:p>
            <w:pPr>
              <w:pStyle w:val="TableContents"/>
              <w:bidi w:val="0"/>
              <w:spacing w:before="0" w:after="0"/>
              <w:ind w:left="0" w:right="0" w:hanging="0"/>
              <w:jc w:val="left"/>
              <w:rPr/>
            </w:pPr>
            <w:r>
              <w:rPr/>
              <w:t>​</w:t>
            </w:r>
          </w:p>
        </w:tc>
      </w:tr>
      <w:tr>
        <w:trPr/>
        <w:tc>
          <w:tcPr>
            <w:tcW w:w="6868" w:type="dxa"/>
            <w:gridSpan w:val="6"/>
            <w:tcBorders/>
            <w:tcMar>
              <w:top w:w="0" w:type="dxa"/>
              <w:left w:w="0" w:type="dxa"/>
            </w:tcMar>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left w:val="single" w:sz="2" w:space="0" w:color="000000"/>
              <w:bottom w:val="single" w:sz="2" w:space="0" w:color="000000"/>
            </w:tcBorders>
            <w:tcMar>
              <w:top w:w="0" w:type="dxa"/>
              <w:bottom w:w="28" w:type="dxa"/>
            </w:tcMar>
            <w:vAlign w:val="center"/>
          </w:tcPr>
          <w:p>
            <w:pPr>
              <w:pStyle w:val="TableContents"/>
              <w:bidi w:val="0"/>
              <w:spacing w:before="0" w:after="0"/>
              <w:ind w:left="0" w:right="0" w:hanging="0"/>
              <w:jc w:val="left"/>
              <w:rPr/>
            </w:pPr>
            <w:r>
              <w:rPr/>
              <w:t>​</w:t>
            </w:r>
          </w:p>
        </w:tc>
        <w:tc>
          <w:tcPr>
            <w:tcW w:w="4036" w:type="dxa"/>
            <w:tcBorders>
              <w:top w:val="single" w:sz="2" w:space="0" w:color="000000"/>
              <w:bottom w:val="single" w:sz="2" w:space="0" w:color="000000"/>
            </w:tcBorders>
            <w:tcMar>
              <w:left w:w="0" w:type="dxa"/>
              <w:bottom w:w="28" w:type="dxa"/>
            </w:tcMar>
            <w:vAlign w:val="center"/>
          </w:tcPr>
          <w:p>
            <w:pPr>
              <w:pStyle w:val="TableContents"/>
              <w:bidi w:val="0"/>
              <w:spacing w:before="0" w:after="0"/>
              <w:ind w:left="0" w:right="0" w:hanging="0"/>
              <w:jc w:val="left"/>
              <w:rPr/>
            </w:pPr>
            <w:r>
              <w:rPr>
                <w:rFonts w:eastAsia="Songti TC"/>
                <w:sz w:val="19"/>
              </w:rPr>
              <w:t>日期：</w:t>
            </w:r>
            <w:r>
              <w:rPr>
                <w:rFonts w:ascii="Times New Roman;Times;serif" w:hAnsi="Times New Roman;Times;serif"/>
                <w:sz w:val="19"/>
              </w:rPr>
              <w:t>06/15/2026</w:t>
            </w:r>
          </w:p>
        </w:tc>
        <w:tc>
          <w:tcPr>
            <w:tcW w:w="109" w:type="dxa"/>
            <w:tcBorders>
              <w:bottom w:val="single" w:sz="2" w:space="0" w:color="000000"/>
              <w:right w:val="single" w:sz="2" w:space="0" w:color="000000"/>
            </w:tcBorders>
            <w:tcMar>
              <w:top w:w="0" w:type="dxa"/>
              <w:left w:w="0" w:type="dxa"/>
              <w:bottom w:w="28" w:type="dxa"/>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bottom w:val="single" w:sz="2" w:space="0" w:color="000000"/>
            </w:tcBorders>
            <w:tcMar>
              <w:top w:w="0" w:type="dxa"/>
              <w:bottom w:w="28" w:type="dxa"/>
            </w:tcMar>
            <w:vAlign w:val="center"/>
          </w:tcPr>
          <w:p>
            <w:pPr>
              <w:pStyle w:val="TableContents"/>
              <w:bidi w:val="0"/>
              <w:spacing w:before="0" w:after="0"/>
              <w:ind w:left="0" w:right="0" w:hanging="0"/>
              <w:jc w:val="left"/>
              <w:rPr/>
            </w:pPr>
            <w:r>
              <w:rPr/>
              <w:t>​</w:t>
            </w:r>
          </w:p>
        </w:tc>
        <w:tc>
          <w:tcPr>
            <w:tcW w:w="2490" w:type="dxa"/>
            <w:gridSpan w:val="2"/>
            <w:tcBorders>
              <w:bottom w:val="single" w:sz="2" w:space="0" w:color="000000"/>
              <w:right w:val="single" w:sz="2" w:space="0" w:color="000000"/>
            </w:tcBorders>
            <w:tcMar>
              <w:top w:w="0" w:type="dxa"/>
              <w:left w:w="0" w:type="dxa"/>
              <w:bottom w:w="28" w:type="dxa"/>
              <w:right w:w="28" w:type="dxa"/>
            </w:tcMar>
            <w:vAlign w:val="center"/>
          </w:tcPr>
          <w:p>
            <w:pPr>
              <w:pStyle w:val="TableContents"/>
              <w:bidi w:val="0"/>
              <w:spacing w:before="0" w:after="0"/>
              <w:ind w:left="0" w:right="0" w:hanging="0"/>
              <w:jc w:val="left"/>
              <w:rPr/>
            </w:pPr>
            <w:r>
              <w:rPr>
                <w:rFonts w:eastAsia="Songti TC"/>
                <w:sz w:val="19"/>
              </w:rPr>
              <w:t>日期：</w:t>
            </w:r>
            <w:r>
              <w:rPr>
                <w:rFonts w:ascii="Times New Roman;Times;serif" w:hAnsi="Times New Roman;Times;serif"/>
                <w:sz w:val="19"/>
              </w:rPr>
              <w:t>06/15/2026</w:t>
            </w:r>
          </w:p>
        </w:tc>
      </w:tr>
    </w:tbl>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19"/>
        </w:rPr>
      </w:pPr>
      <w:r>
        <w:rPr>
          <w:rFonts w:ascii="Times New Roman;Times;serif" w:hAnsi="Times New Roman;Times;serif"/>
          <w:sz w:val="19"/>
        </w:rPr>
        <w:t>Page 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rFonts w:eastAsia="Songti TC"/>
          <w:sz w:val="19"/>
        </w:rPr>
        <w:t>附件</w:t>
      </w:r>
      <w:r>
        <w:rPr>
          <w:rFonts w:ascii="Times New Roman;Times;serif" w:hAnsi="Times New Roman;Times;serif"/>
          <w:sz w:val="19"/>
        </w:rPr>
        <w:t>A</w:t>
      </w:r>
      <w:r>
        <w:rPr>
          <w:rFonts w:eastAsia="Songti TC"/>
          <w:sz w:val="19"/>
        </w:rPr>
        <w:t>：货物明细表</w:t>
      </w:r>
    </w:p>
    <w:p>
      <w:pPr>
        <w:pStyle w:val="TextBody"/>
        <w:bidi w:val="0"/>
        <w:spacing w:before="0" w:after="80"/>
        <w:ind w:left="0" w:right="0" w:hanging="0"/>
        <w:jc w:val="center"/>
        <w:rPr>
          <w:rFonts w:ascii="Times New Roman;Times;serif" w:hAnsi="Times New Roman;Times;serif"/>
          <w:sz w:val="19"/>
        </w:rPr>
      </w:pPr>
      <w:r>
        <w:rPr>
          <w:rFonts w:ascii="Times New Roman;Times;serif" w:hAnsi="Times New Roman;Times;serif"/>
          <w:sz w:val="19"/>
        </w:rPr>
        <w:t>ANNEX A: GOODS IDENTIFICATION SCHEDULE</w:t>
      </w:r>
    </w:p>
    <w:p>
      <w:pPr>
        <w:pStyle w:val="TextBody"/>
        <w:bidi w:val="0"/>
        <w:spacing w:before="0" w:after="80"/>
        <w:ind w:left="0" w:right="0" w:hanging="0"/>
        <w:jc w:val="left"/>
        <w:rPr>
          <w:rFonts w:eastAsia="Songti TC"/>
          <w:sz w:val="19"/>
        </w:rPr>
      </w:pPr>
      <w:r>
        <w:rPr>
          <w:rFonts w:eastAsia="Songti TC"/>
          <w:sz w:val="19"/>
        </w:rPr>
        <w:t>本附件构成本销售合同不可分割的一部分。</w:t>
      </w:r>
    </w:p>
    <w:p>
      <w:pPr>
        <w:pStyle w:val="TextBody"/>
        <w:bidi w:val="0"/>
        <w:spacing w:before="0" w:after="80"/>
        <w:ind w:left="0" w:right="0" w:hanging="0"/>
        <w:jc w:val="left"/>
        <w:rPr>
          <w:rFonts w:ascii="Times New Roman;Times;serif" w:hAnsi="Times New Roman;Times;serif"/>
          <w:sz w:val="19"/>
        </w:rPr>
      </w:pPr>
      <w:r>
        <w:rPr>
          <w:rFonts w:ascii="Times New Roman;Times;serif" w:hAnsi="Times New Roman;Times;serif"/>
          <w:sz w:val="19"/>
        </w:rPr>
        <w:t>This Annex forms an integral part of this Sales Contract.</w:t>
      </w:r>
    </w:p>
    <w:tbl>
      <w:tblPr>
        <w:tblW w:w="8914" w:type="dxa"/>
        <w:jc w:val="left"/>
        <w:tblInd w:w="0" w:type="dxa"/>
        <w:tblLayout w:type="fixed"/>
        <w:tblCellMar>
          <w:top w:w="28" w:type="dxa"/>
          <w:left w:w="28" w:type="dxa"/>
          <w:bottom w:w="28" w:type="dxa"/>
          <w:right w:w="28" w:type="dxa"/>
        </w:tblCellMar>
      </w:tblPr>
      <w:tblGrid>
        <w:gridCol w:w="2866"/>
        <w:gridCol w:w="2026"/>
        <w:gridCol w:w="1966"/>
        <w:gridCol w:w="2056"/>
      </w:tblGrid>
      <w:tr>
        <w:trPr/>
        <w:tc>
          <w:tcPr>
            <w:tcW w:w="28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rFonts w:eastAsia="Songti TC"/>
                <w:sz w:val="19"/>
              </w:rPr>
              <w:t>项目</w:t>
            </w:r>
            <w:r>
              <w:rPr>
                <w:rFonts w:eastAsia="Times New Roman;Times;serif"/>
                <w:sz w:val="18"/>
              </w:rPr>
              <w:t xml:space="preserve"> </w:t>
            </w:r>
            <w:r>
              <w:rPr>
                <w:rFonts w:ascii="Times New Roman;Times;serif" w:hAnsi="Times New Roman;Times;serif"/>
                <w:sz w:val="19"/>
              </w:rPr>
              <w:t>/ Item</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rFonts w:eastAsia="Songti TC"/>
                <w:sz w:val="19"/>
              </w:rPr>
              <w:t>设备</w:t>
            </w:r>
            <w:r>
              <w:rPr>
                <w:rFonts w:ascii="Times New Roman;Times;serif" w:hAnsi="Times New Roman;Times;serif"/>
                <w:sz w:val="19"/>
              </w:rPr>
              <w:t>1 / Unit 1</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rFonts w:eastAsia="Songti TC"/>
                <w:sz w:val="19"/>
              </w:rPr>
              <w:t>设备</w:t>
            </w:r>
            <w:r>
              <w:rPr>
                <w:rFonts w:ascii="Times New Roman;Times;serif" w:hAnsi="Times New Roman;Times;serif"/>
                <w:sz w:val="19"/>
              </w:rPr>
              <w:t>2 / Unit 2</w:t>
            </w:r>
          </w:p>
        </w:tc>
        <w:tc>
          <w:tcPr>
            <w:tcW w:w="20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rFonts w:eastAsia="Songti TC"/>
                <w:sz w:val="19"/>
              </w:rPr>
              <w:t>设备</w:t>
            </w:r>
            <w:r>
              <w:rPr>
                <w:rFonts w:ascii="Times New Roman;Times;serif" w:hAnsi="Times New Roman;Times;serif"/>
                <w:sz w:val="19"/>
              </w:rPr>
              <w:t>3 / Unit 3</w:t>
            </w:r>
          </w:p>
        </w:tc>
      </w:tr>
      <w:tr>
        <w:trPr/>
        <w:tc>
          <w:tcPr>
            <w:tcW w:w="28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rFonts w:eastAsia="Songti TC"/>
                <w:sz w:val="19"/>
              </w:rPr>
              <w:t>设备</w:t>
            </w:r>
            <w:r>
              <w:rPr>
                <w:rFonts w:eastAsia="Times New Roman;Times;serif"/>
                <w:sz w:val="18"/>
              </w:rPr>
              <w:t xml:space="preserve"> </w:t>
            </w:r>
            <w:r>
              <w:rPr>
                <w:rFonts w:ascii="Times New Roman;Times;serif" w:hAnsi="Times New Roman;Times;serif"/>
                <w:sz w:val="19"/>
              </w:rPr>
              <w:t>/ Commodity</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rFonts w:eastAsia="Songti TC"/>
                <w:sz w:val="19"/>
              </w:rPr>
              <w:t>挖掘机</w:t>
            </w:r>
            <w:r>
              <w:rPr>
                <w:rFonts w:eastAsia="Times New Roman;Times;serif"/>
                <w:sz w:val="18"/>
              </w:rPr>
              <w:t xml:space="preserve"> </w:t>
            </w:r>
            <w:r>
              <w:rPr>
                <w:rFonts w:ascii="Times New Roman;Times;serif" w:hAnsi="Times New Roman;Times;serif"/>
                <w:sz w:val="19"/>
              </w:rPr>
              <w:t>/ Excavator</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rFonts w:eastAsia="Songti TC"/>
                <w:sz w:val="19"/>
              </w:rPr>
              <w:t>挖掘机</w:t>
            </w:r>
            <w:r>
              <w:rPr>
                <w:rFonts w:eastAsia="Times New Roman;Times;serif"/>
                <w:sz w:val="18"/>
              </w:rPr>
              <w:t xml:space="preserve"> </w:t>
            </w:r>
            <w:r>
              <w:rPr>
                <w:rFonts w:ascii="Times New Roman;Times;serif" w:hAnsi="Times New Roman;Times;serif"/>
                <w:sz w:val="19"/>
              </w:rPr>
              <w:t>/ Excavator</w:t>
            </w:r>
          </w:p>
        </w:tc>
        <w:tc>
          <w:tcPr>
            <w:tcW w:w="20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rFonts w:eastAsia="Songti TC"/>
                <w:sz w:val="19"/>
              </w:rPr>
              <w:t>挖掘机</w:t>
            </w:r>
            <w:r>
              <w:rPr>
                <w:rFonts w:eastAsia="Times New Roman;Times;serif"/>
                <w:sz w:val="18"/>
              </w:rPr>
              <w:t xml:space="preserve"> </w:t>
            </w:r>
            <w:r>
              <w:rPr>
                <w:rFonts w:ascii="Times New Roman;Times;serif" w:hAnsi="Times New Roman;Times;serif"/>
                <w:sz w:val="19"/>
              </w:rPr>
              <w:t>/ Excavator</w:t>
            </w:r>
          </w:p>
        </w:tc>
      </w:tr>
      <w:tr>
        <w:trPr/>
        <w:tc>
          <w:tcPr>
            <w:tcW w:w="28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rFonts w:eastAsia="Songti TC"/>
                <w:sz w:val="19"/>
              </w:rPr>
              <w:t>制造商</w:t>
            </w:r>
            <w:r>
              <w:rPr>
                <w:rFonts w:eastAsia="Times New Roman;Times;serif"/>
                <w:sz w:val="18"/>
              </w:rPr>
              <w:t xml:space="preserve"> </w:t>
            </w:r>
            <w:r>
              <w:rPr>
                <w:rFonts w:ascii="Times New Roman;Times;serif" w:hAnsi="Times New Roman;Times;serif"/>
                <w:sz w:val="19"/>
              </w:rPr>
              <w:t>/ Manufacturer</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VOLVO</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VOLVO</w:t>
            </w:r>
          </w:p>
        </w:tc>
        <w:tc>
          <w:tcPr>
            <w:tcW w:w="20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VOLVO</w:t>
            </w:r>
          </w:p>
        </w:tc>
      </w:tr>
      <w:tr>
        <w:trPr/>
        <w:tc>
          <w:tcPr>
            <w:tcW w:w="28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rFonts w:eastAsia="Songti TC"/>
                <w:sz w:val="19"/>
              </w:rPr>
              <w:t>型号</w:t>
            </w:r>
            <w:r>
              <w:rPr>
                <w:rFonts w:eastAsia="Times New Roman;Times;serif"/>
                <w:sz w:val="18"/>
              </w:rPr>
              <w:t xml:space="preserve"> </w:t>
            </w:r>
            <w:r>
              <w:rPr>
                <w:rFonts w:ascii="Times New Roman;Times;serif" w:hAnsi="Times New Roman;Times;serif"/>
                <w:sz w:val="19"/>
              </w:rPr>
              <w:t>/ Model</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EC500ELHBC4</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EC500ELHBC4</w:t>
            </w:r>
          </w:p>
        </w:tc>
        <w:tc>
          <w:tcPr>
            <w:tcW w:w="20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EC500ELHBC4</w:t>
            </w:r>
          </w:p>
        </w:tc>
      </w:tr>
      <w:tr>
        <w:trPr/>
        <w:tc>
          <w:tcPr>
            <w:tcW w:w="28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rFonts w:eastAsia="Songti TC"/>
                <w:sz w:val="19"/>
              </w:rPr>
              <w:t>车架号</w:t>
            </w:r>
            <w:r>
              <w:rPr>
                <w:rFonts w:eastAsia="Times New Roman;Times;serif"/>
                <w:sz w:val="18"/>
              </w:rPr>
              <w:t xml:space="preserve"> </w:t>
            </w:r>
            <w:r>
              <w:rPr>
                <w:rFonts w:ascii="Times New Roman;Times;serif" w:hAnsi="Times New Roman;Times;serif"/>
                <w:sz w:val="19"/>
              </w:rPr>
              <w:t>/ Chassis No.</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VCE0CEJEK00335162</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VCE0CEJEJ00335163</w:t>
            </w:r>
          </w:p>
        </w:tc>
        <w:tc>
          <w:tcPr>
            <w:tcW w:w="20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VCE0CEJEL00335167</w:t>
            </w:r>
          </w:p>
        </w:tc>
      </w:tr>
      <w:tr>
        <w:trPr/>
        <w:tc>
          <w:tcPr>
            <w:tcW w:w="28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rFonts w:eastAsia="Songti TC"/>
                <w:sz w:val="19"/>
              </w:rPr>
              <w:t>生产年份</w:t>
            </w:r>
            <w:r>
              <w:rPr>
                <w:rFonts w:eastAsia="Times New Roman;Times;serif"/>
                <w:sz w:val="18"/>
              </w:rPr>
              <w:t xml:space="preserve"> </w:t>
            </w:r>
            <w:r>
              <w:rPr>
                <w:rFonts w:ascii="Times New Roman;Times;serif" w:hAnsi="Times New Roman;Times;serif"/>
                <w:sz w:val="19"/>
              </w:rPr>
              <w:t>/ Manufacturing Year</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2026</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2026</w:t>
            </w:r>
          </w:p>
        </w:tc>
        <w:tc>
          <w:tcPr>
            <w:tcW w:w="20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2026</w:t>
            </w:r>
          </w:p>
        </w:tc>
      </w:tr>
      <w:tr>
        <w:trPr/>
        <w:tc>
          <w:tcPr>
            <w:tcW w:w="28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rFonts w:eastAsia="Songti TC"/>
                <w:sz w:val="19"/>
              </w:rPr>
              <w:t>发动机气缸数</w:t>
            </w:r>
            <w:r>
              <w:rPr>
                <w:rFonts w:eastAsia="Times New Roman;Times;serif"/>
                <w:sz w:val="18"/>
              </w:rPr>
              <w:t xml:space="preserve"> </w:t>
            </w:r>
            <w:r>
              <w:rPr>
                <w:rFonts w:ascii="Times New Roman;Times;serif" w:hAnsi="Times New Roman;Times;serif"/>
                <w:sz w:val="19"/>
              </w:rPr>
              <w:t>/ Engine Cylinders</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6</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6</w:t>
            </w:r>
          </w:p>
        </w:tc>
        <w:tc>
          <w:tcPr>
            <w:tcW w:w="20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6</w:t>
            </w:r>
          </w:p>
        </w:tc>
      </w:tr>
      <w:tr>
        <w:trPr/>
        <w:tc>
          <w:tcPr>
            <w:tcW w:w="28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rFonts w:eastAsia="Songti TC"/>
                <w:sz w:val="19"/>
              </w:rPr>
              <w:t>发动机号</w:t>
            </w:r>
            <w:r>
              <w:rPr>
                <w:rFonts w:eastAsia="Times New Roman;Times;serif"/>
                <w:sz w:val="18"/>
              </w:rPr>
              <w:t xml:space="preserve"> </w:t>
            </w:r>
            <w:r>
              <w:rPr>
                <w:rFonts w:ascii="Times New Roman;Times;serif" w:hAnsi="Times New Roman;Times;serif"/>
                <w:sz w:val="19"/>
              </w:rPr>
              <w:t>/ Engine No.</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2568834</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2568869</w:t>
            </w:r>
          </w:p>
        </w:tc>
        <w:tc>
          <w:tcPr>
            <w:tcW w:w="20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2568810</w:t>
            </w:r>
          </w:p>
        </w:tc>
      </w:tr>
    </w:tbl>
    <w:p>
      <w:pPr>
        <w:pStyle w:val="TextBody"/>
        <w:bidi w:val="0"/>
        <w:spacing w:before="0" w:after="80"/>
        <w:ind w:left="0" w:right="0" w:hanging="0"/>
        <w:jc w:val="left"/>
        <w:rPr/>
      </w:pPr>
      <w:r>
        <w:rPr/>
        <w:t>​</w:t>
      </w:r>
      <w:r>
        <w:rPr>
          <w:rFonts w:ascii="Times New Roman;Times;serif" w:hAnsi="Times New Roman;Times;serif"/>
          <w:sz w:val="19"/>
        </w:rPr>
        <w:br/>
      </w:r>
      <w:r>
        <w:rPr>
          <w:rFonts w:eastAsia="Songti TC"/>
          <w:sz w:val="19"/>
        </w:rPr>
        <w:t>数量合计：</w:t>
      </w:r>
      <w:r>
        <w:rPr>
          <w:rFonts w:ascii="Times New Roman;Times;serif" w:hAnsi="Times New Roman;Times;serif"/>
          <w:sz w:val="19"/>
        </w:rPr>
        <w:t>3</w:t>
      </w:r>
      <w:r>
        <w:rPr>
          <w:rFonts w:eastAsia="Songti TC"/>
          <w:sz w:val="19"/>
        </w:rPr>
        <w:t>台</w:t>
      </w:r>
      <w:r>
        <w:rPr>
          <w:rFonts w:ascii="Times New Roman;Times;serif" w:hAnsi="Times New Roman;Times;serif"/>
          <w:sz w:val="19"/>
        </w:rPr>
        <w:br/>
        <w:t>Total Quantity: 3 Units</w:t>
        <w:br/>
        <w:br/>
      </w:r>
      <w:r>
        <w:rPr>
          <w:rFonts w:eastAsia="Songti TC"/>
          <w:sz w:val="19"/>
        </w:rPr>
        <w:t>合同总价：</w:t>
      </w:r>
      <w:r>
        <w:rPr>
          <w:rFonts w:ascii="Times New Roman;Times;serif" w:hAnsi="Times New Roman;Times;serif"/>
          <w:sz w:val="19"/>
        </w:rPr>
        <w:t>660,000.00</w:t>
      </w:r>
      <w:r>
        <w:rPr>
          <w:rFonts w:eastAsia="Songti TC"/>
          <w:sz w:val="19"/>
        </w:rPr>
        <w:t>美元</w:t>
      </w:r>
      <w:r>
        <w:rPr>
          <w:rFonts w:ascii="Times New Roman;Times;serif" w:hAnsi="Times New Roman;Times;serif"/>
          <w:sz w:val="19"/>
        </w:rPr>
        <w:br/>
        <w:t>Total Contract Price: USD 660,000.00</w:t>
      </w:r>
    </w:p>
    <w:p>
      <w:pPr>
        <w:pStyle w:val="TextBody"/>
        <w:bidi w:val="0"/>
        <w:spacing w:before="480" w:after="0"/>
        <w:ind w:left="0" w:right="0" w:hanging="0"/>
        <w:jc w:val="center"/>
        <w:rPr>
          <w:rFonts w:ascii="Times New Roman;Times;serif" w:hAnsi="Times New Roman;Times;serif"/>
          <w:sz w:val="19"/>
        </w:rPr>
      </w:pPr>
      <w:r>
        <w:rPr>
          <w:rFonts w:ascii="Times New Roman;Times;serif" w:hAnsi="Times New Roman;Times;serif"/>
          <w:sz w:val="19"/>
        </w:rPr>
        <w:t>Page 5</w:t>
      </w:r>
    </w:p>
    <w:p>
      <w:pPr>
        <w:pStyle w:val="HorizontalLine"/>
        <w:pBdr>
          <w:bottom w:val="double" w:sz="2" w:space="0" w:color="808080"/>
        </w:pBdr>
        <w:bidi w:val="0"/>
        <w:spacing w:before="0" w:after="283"/>
        <w:jc w:val="left"/>
        <w:rPr/>
      </w:pPr>
      <w:r>
        <w:rPr/>
      </w:r>
    </w:p>
    <w:p>
      <w:pPr>
        <w:pStyle w:val="TextBody"/>
        <w:bidi w:val="0"/>
        <w:spacing w:lineRule="auto" w:line="285" w:before="73" w:after="0"/>
        <w:ind w:left="2" w:right="0" w:hanging="0"/>
        <w:jc w:val="right"/>
        <w:rPr>
          <w:rFonts w:ascii="Times New Roman;Times;serif" w:hAnsi="Times New Roman;Times;serif"/>
          <w:b/>
          <w:sz w:val="20"/>
        </w:rPr>
      </w:pPr>
      <w:bookmarkStart w:id="1453" w:name="ctnt-20260630xex10d20.htm"/>
      <w:bookmarkStart w:id="1454" w:name="ksctnt20260630xex10d20"/>
      <w:bookmarkEnd w:id="1453"/>
      <w:bookmarkEnd w:id="1454"/>
      <w:r>
        <w:rPr>
          <w:rFonts w:ascii="Times New Roman;Times;serif" w:hAnsi="Times New Roman;Times;serif"/>
          <w:b/>
          <w:sz w:val="20"/>
        </w:rPr>
        <w:t>Exhibit 10.20</w:t>
      </w:r>
      <w:r>
        <w:br w:type="page"/>
      </w:r>
    </w:p>
    <w:p>
      <w:pPr>
        <w:pStyle w:val="TextBody"/>
        <w:bidi w:val="0"/>
        <w:spacing w:lineRule="auto" w:line="285" w:before="0" w:after="0"/>
        <w:ind w:left="0" w:right="0" w:hanging="0"/>
        <w:jc w:val="right"/>
        <w:rPr/>
      </w:pPr>
      <w:r>
        <w:rPr/>
        <w:t>​</w:t>
      </w:r>
    </w:p>
    <w:p>
      <w:pPr>
        <w:pStyle w:val="TextBody"/>
        <w:bidi w:val="0"/>
        <w:spacing w:lineRule="auto" w:line="285" w:before="0" w:after="0"/>
        <w:ind w:left="0" w:right="0" w:hanging="0"/>
        <w:jc w:val="center"/>
        <w:rPr>
          <w:rFonts w:ascii="Arial;Helvetica;sans-serif" w:hAnsi="Arial;Helvetica;sans-serif"/>
          <w:b/>
          <w:sz w:val="32"/>
        </w:rPr>
      </w:pPr>
      <w:r>
        <w:rPr>
          <w:rFonts w:ascii="Times New Roman;Times;serif" w:hAnsi="Times New Roman;Times;serif"/>
          <w:b/>
          <w:sz w:val="32"/>
        </w:rPr>
        <w:t>SALES</w:t>
      </w:r>
      <w:r>
        <w:rPr>
          <w:rFonts w:ascii="Arial;Helvetica;sans-serif" w:hAnsi="Arial;Helvetica;sans-serif"/>
          <w:b/>
          <w:spacing w:val="-10"/>
          <w:sz w:val="32"/>
        </w:rPr>
        <w:t xml:space="preserve"> </w:t>
      </w:r>
      <w:r>
        <w:rPr>
          <w:rFonts w:ascii="Times New Roman;Times;serif" w:hAnsi="Times New Roman;Times;serif"/>
          <w:b/>
          <w:spacing w:val="-2"/>
          <w:sz w:val="32"/>
        </w:rPr>
        <w:t>CONTRACT</w:t>
      </w:r>
    </w:p>
    <w:p>
      <w:pPr>
        <w:pStyle w:val="TextBody"/>
        <w:bidi w:val="0"/>
        <w:spacing w:lineRule="auto" w:line="285" w:before="160" w:after="0"/>
        <w:ind w:left="0" w:right="0" w:hanging="0"/>
        <w:jc w:val="center"/>
        <w:rPr>
          <w:rFonts w:ascii="Arial;Helvetica;sans-serif" w:hAnsi="Arial;Helvetica;sans-serif"/>
          <w:sz w:val="19"/>
        </w:rPr>
      </w:pPr>
      <w:r>
        <w:rPr>
          <w:rFonts w:ascii="Times New Roman;Times;serif" w:hAnsi="Times New Roman;Times;serif"/>
          <w:sz w:val="21"/>
        </w:rPr>
        <w:t>June</w:t>
      </w:r>
      <w:r>
        <w:rPr>
          <w:rFonts w:ascii="Arial;Helvetica;sans-serif" w:hAnsi="Arial;Helvetica;sans-serif"/>
          <w:spacing w:val="-12"/>
          <w:sz w:val="19"/>
        </w:rPr>
        <w:t xml:space="preserve"> </w:t>
      </w:r>
      <w:r>
        <w:rPr>
          <w:rFonts w:ascii="Times New Roman;Times;serif" w:hAnsi="Times New Roman;Times;serif"/>
          <w:sz w:val="21"/>
        </w:rPr>
        <w:t>18,</w:t>
      </w:r>
      <w:r>
        <w:rPr>
          <w:rFonts w:ascii="Arial;Helvetica;sans-serif" w:hAnsi="Arial;Helvetica;sans-serif"/>
          <w:spacing w:val="-4"/>
          <w:sz w:val="19"/>
        </w:rPr>
        <w:t xml:space="preserve"> </w:t>
      </w:r>
      <w:r>
        <w:rPr>
          <w:rFonts w:ascii="Times New Roman;Times;serif" w:hAnsi="Times New Roman;Times;serif"/>
          <w:spacing w:val="-4"/>
          <w:sz w:val="21"/>
        </w:rPr>
        <w:t>2026</w:t>
      </w:r>
    </w:p>
    <w:p>
      <w:pPr>
        <w:pStyle w:val="TextBody"/>
        <w:bidi w:val="0"/>
        <w:spacing w:lineRule="auto" w:line="285" w:before="94" w:after="283"/>
        <w:ind w:left="0" w:right="0" w:hanging="0"/>
        <w:jc w:val="left"/>
        <w:rPr/>
      </w:pPr>
      <w:r>
        <w:rPr/>
        <w:t>​</w:t>
      </w:r>
    </w:p>
    <w:p>
      <w:pPr>
        <w:pStyle w:val="TextBody"/>
        <w:bidi w:val="0"/>
        <w:spacing w:lineRule="auto" w:line="285" w:before="1" w:after="0"/>
        <w:ind w:left="0" w:right="0" w:hanging="0"/>
        <w:jc w:val="left"/>
        <w:rPr>
          <w:rFonts w:ascii="Times New Roman;Times;serif" w:hAnsi="Times New Roman;Times;serif"/>
          <w:b/>
          <w:spacing w:val="-2"/>
          <w:sz w:val="21"/>
        </w:rPr>
      </w:pPr>
      <w:r>
        <w:rPr>
          <w:rFonts w:ascii="Times New Roman;Times;serif" w:hAnsi="Times New Roman;Times;serif"/>
          <w:b/>
          <w:spacing w:val="-2"/>
          <w:sz w:val="21"/>
        </w:rPr>
        <w:t>SELLER</w:t>
      </w:r>
    </w:p>
    <w:p>
      <w:pPr>
        <w:pStyle w:val="TextBody"/>
        <w:bidi w:val="0"/>
        <w:spacing w:lineRule="auto" w:line="285" w:before="94" w:after="0"/>
        <w:ind w:left="0" w:right="0" w:hanging="0"/>
        <w:jc w:val="left"/>
        <w:rPr>
          <w:rFonts w:ascii="Arial;Helvetica;sans-serif" w:hAnsi="Arial;Helvetica;sans-serif"/>
          <w:b/>
          <w:sz w:val="19"/>
        </w:rPr>
      </w:pPr>
      <w:r>
        <w:rPr>
          <w:rFonts w:ascii="Times New Roman;Times;serif" w:hAnsi="Times New Roman;Times;serif"/>
          <w:b/>
          <w:sz w:val="19"/>
        </w:rPr>
        <w:t>Cheetah</w:t>
      </w:r>
      <w:r>
        <w:rPr>
          <w:rFonts w:ascii="Arial;Helvetica;sans-serif" w:hAnsi="Arial;Helvetica;sans-serif"/>
          <w:b/>
          <w:spacing w:val="-11"/>
          <w:sz w:val="19"/>
        </w:rPr>
        <w:t xml:space="preserve"> </w:t>
      </w:r>
      <w:r>
        <w:rPr>
          <w:rFonts w:ascii="Times New Roman;Times;serif" w:hAnsi="Times New Roman;Times;serif"/>
          <w:b/>
          <w:sz w:val="19"/>
        </w:rPr>
        <w:t>Net</w:t>
      </w:r>
      <w:r>
        <w:rPr>
          <w:rFonts w:ascii="Arial;Helvetica;sans-serif" w:hAnsi="Arial;Helvetica;sans-serif"/>
          <w:b/>
          <w:spacing w:val="-5"/>
          <w:sz w:val="19"/>
        </w:rPr>
        <w:t xml:space="preserve"> </w:t>
      </w:r>
      <w:r>
        <w:rPr>
          <w:rFonts w:ascii="Times New Roman;Times;serif" w:hAnsi="Times New Roman;Times;serif"/>
          <w:b/>
          <w:sz w:val="19"/>
        </w:rPr>
        <w:t>Supply</w:t>
      </w:r>
      <w:r>
        <w:rPr>
          <w:rFonts w:ascii="Arial;Helvetica;sans-serif" w:hAnsi="Arial;Helvetica;sans-serif"/>
          <w:b/>
          <w:spacing w:val="-10"/>
          <w:sz w:val="19"/>
        </w:rPr>
        <w:t xml:space="preserve"> </w:t>
      </w:r>
      <w:r>
        <w:rPr>
          <w:rFonts w:ascii="Times New Roman;Times;serif" w:hAnsi="Times New Roman;Times;serif"/>
          <w:b/>
          <w:sz w:val="19"/>
        </w:rPr>
        <w:t>Chain</w:t>
      </w:r>
      <w:r>
        <w:rPr>
          <w:rFonts w:ascii="Arial;Helvetica;sans-serif" w:hAnsi="Arial;Helvetica;sans-serif"/>
          <w:b/>
          <w:spacing w:val="-9"/>
          <w:sz w:val="19"/>
        </w:rPr>
        <w:t xml:space="preserve"> </w:t>
      </w:r>
      <w:r>
        <w:rPr>
          <w:rFonts w:ascii="Times New Roman;Times;serif" w:hAnsi="Times New Roman;Times;serif"/>
          <w:b/>
          <w:sz w:val="19"/>
        </w:rPr>
        <w:t>Service</w:t>
      </w:r>
      <w:r>
        <w:rPr>
          <w:rFonts w:ascii="Arial;Helvetica;sans-serif" w:hAnsi="Arial;Helvetica;sans-serif"/>
          <w:b/>
          <w:spacing w:val="-8"/>
          <w:sz w:val="19"/>
        </w:rPr>
        <w:t xml:space="preserve"> </w:t>
      </w:r>
      <w:r>
        <w:rPr>
          <w:rFonts w:ascii="Times New Roman;Times;serif" w:hAnsi="Times New Roman;Times;serif"/>
          <w:b/>
          <w:spacing w:val="-4"/>
          <w:sz w:val="19"/>
        </w:rPr>
        <w:t>Inc.</w:t>
      </w:r>
    </w:p>
    <w:p>
      <w:pPr>
        <w:pStyle w:val="TextBody"/>
        <w:bidi w:val="0"/>
        <w:spacing w:lineRule="auto" w:line="285" w:before="31" w:after="0"/>
        <w:ind w:left="0" w:right="0" w:hanging="0"/>
        <w:jc w:val="left"/>
        <w:rPr>
          <w:rFonts w:ascii="Arial;Helvetica;sans-serif" w:hAnsi="Arial;Helvetica;sans-serif"/>
          <w:sz w:val="19"/>
        </w:rPr>
      </w:pPr>
      <w:r>
        <w:rPr>
          <w:rFonts w:ascii="Times New Roman;Times;serif" w:hAnsi="Times New Roman;Times;serif"/>
          <w:sz w:val="19"/>
        </w:rPr>
        <w:t>Address:</w:t>
      </w:r>
      <w:r>
        <w:rPr>
          <w:rFonts w:ascii="Arial;Helvetica;sans-serif" w:hAnsi="Arial;Helvetica;sans-serif"/>
          <w:spacing w:val="-8"/>
          <w:sz w:val="19"/>
        </w:rPr>
        <w:t xml:space="preserve"> </w:t>
      </w:r>
      <w:r>
        <w:rPr>
          <w:rFonts w:ascii="Times New Roman;Times;serif" w:hAnsi="Times New Roman;Times;serif"/>
          <w:sz w:val="19"/>
        </w:rPr>
        <w:t>8707</w:t>
      </w:r>
      <w:r>
        <w:rPr>
          <w:rFonts w:ascii="Arial;Helvetica;sans-serif" w:hAnsi="Arial;Helvetica;sans-serif"/>
          <w:spacing w:val="-8"/>
          <w:sz w:val="19"/>
        </w:rPr>
        <w:t xml:space="preserve"> </w:t>
      </w:r>
      <w:r>
        <w:rPr>
          <w:rFonts w:ascii="Times New Roman;Times;serif" w:hAnsi="Times New Roman;Times;serif"/>
          <w:sz w:val="19"/>
        </w:rPr>
        <w:t>Research</w:t>
      </w:r>
      <w:r>
        <w:rPr>
          <w:rFonts w:ascii="Arial;Helvetica;sans-serif" w:hAnsi="Arial;Helvetica;sans-serif"/>
          <w:spacing w:val="-9"/>
          <w:sz w:val="19"/>
        </w:rPr>
        <w:t xml:space="preserve"> </w:t>
      </w:r>
      <w:r>
        <w:rPr>
          <w:rFonts w:ascii="Times New Roman;Times;serif" w:hAnsi="Times New Roman;Times;serif"/>
          <w:sz w:val="19"/>
        </w:rPr>
        <w:t>Drive,</w:t>
      </w:r>
      <w:r>
        <w:rPr>
          <w:rFonts w:ascii="Arial;Helvetica;sans-serif" w:hAnsi="Arial;Helvetica;sans-serif"/>
          <w:spacing w:val="-4"/>
          <w:sz w:val="19"/>
        </w:rPr>
        <w:t xml:space="preserve"> </w:t>
      </w:r>
      <w:r>
        <w:rPr>
          <w:rFonts w:ascii="Times New Roman;Times;serif" w:hAnsi="Times New Roman;Times;serif"/>
          <w:sz w:val="19"/>
        </w:rPr>
        <w:t>Irvine,</w:t>
      </w:r>
      <w:r>
        <w:rPr>
          <w:rFonts w:ascii="Arial;Helvetica;sans-serif" w:hAnsi="Arial;Helvetica;sans-serif"/>
          <w:spacing w:val="-6"/>
          <w:sz w:val="19"/>
        </w:rPr>
        <w:t xml:space="preserve"> </w:t>
      </w:r>
      <w:r>
        <w:rPr>
          <w:rFonts w:ascii="Times New Roman;Times;serif" w:hAnsi="Times New Roman;Times;serif"/>
          <w:sz w:val="19"/>
        </w:rPr>
        <w:t>CA</w:t>
      </w:r>
      <w:r>
        <w:rPr>
          <w:rFonts w:ascii="Arial;Helvetica;sans-serif" w:hAnsi="Arial;Helvetica;sans-serif"/>
          <w:spacing w:val="-9"/>
          <w:sz w:val="19"/>
        </w:rPr>
        <w:t xml:space="preserve"> </w:t>
      </w:r>
      <w:r>
        <w:rPr>
          <w:rFonts w:ascii="Times New Roman;Times;serif" w:hAnsi="Times New Roman;Times;serif"/>
          <w:sz w:val="19"/>
        </w:rPr>
        <w:t>92618,</w:t>
      </w:r>
      <w:r>
        <w:rPr>
          <w:rFonts w:ascii="Arial;Helvetica;sans-serif" w:hAnsi="Arial;Helvetica;sans-serif"/>
          <w:spacing w:val="-5"/>
          <w:sz w:val="19"/>
        </w:rPr>
        <w:t xml:space="preserve"> </w:t>
      </w:r>
      <w:r>
        <w:rPr>
          <w:rFonts w:ascii="Times New Roman;Times;serif" w:hAnsi="Times New Roman;Times;serif"/>
          <w:spacing w:val="-5"/>
          <w:sz w:val="19"/>
        </w:rPr>
        <w:t>USA</w:t>
      </w:r>
    </w:p>
    <w:p>
      <w:pPr>
        <w:pStyle w:val="TextBody"/>
        <w:bidi w:val="0"/>
        <w:spacing w:lineRule="auto" w:line="285" w:before="94" w:after="283"/>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pacing w:val="-2"/>
          <w:sz w:val="21"/>
        </w:rPr>
      </w:pPr>
      <w:r>
        <w:rPr>
          <w:rFonts w:ascii="Times New Roman;Times;serif" w:hAnsi="Times New Roman;Times;serif"/>
          <w:b/>
          <w:spacing w:val="-2"/>
          <w:sz w:val="21"/>
        </w:rPr>
        <w:t>BUYER</w:t>
      </w:r>
    </w:p>
    <w:p>
      <w:pPr>
        <w:pStyle w:val="TextBody"/>
        <w:bidi w:val="0"/>
        <w:spacing w:lineRule="auto" w:line="285" w:before="99" w:after="0"/>
        <w:ind w:left="0" w:right="0" w:hanging="0"/>
        <w:jc w:val="left"/>
        <w:rPr>
          <w:rFonts w:ascii="Arial;Helvetica;sans-serif" w:hAnsi="Arial;Helvetica;sans-serif"/>
          <w:b/>
          <w:sz w:val="19"/>
        </w:rPr>
      </w:pPr>
      <w:r>
        <w:rPr>
          <w:rFonts w:ascii="Times New Roman;Times;serif" w:hAnsi="Times New Roman;Times;serif"/>
          <w:b/>
          <w:sz w:val="19"/>
        </w:rPr>
        <w:t>HOLYWUD</w:t>
      </w:r>
      <w:r>
        <w:rPr>
          <w:rFonts w:ascii="Arial;Helvetica;sans-serif" w:hAnsi="Arial;Helvetica;sans-serif"/>
          <w:b/>
          <w:spacing w:val="-12"/>
          <w:sz w:val="19"/>
        </w:rPr>
        <w:t xml:space="preserve"> </w:t>
      </w:r>
      <w:r>
        <w:rPr>
          <w:rFonts w:ascii="Times New Roman;Times;serif" w:hAnsi="Times New Roman;Times;serif"/>
          <w:b/>
          <w:sz w:val="19"/>
        </w:rPr>
        <w:t>(HK)</w:t>
      </w:r>
      <w:r>
        <w:rPr>
          <w:rFonts w:ascii="Arial;Helvetica;sans-serif" w:hAnsi="Arial;Helvetica;sans-serif"/>
          <w:b/>
          <w:spacing w:val="-5"/>
          <w:sz w:val="19"/>
        </w:rPr>
        <w:t xml:space="preserve"> </w:t>
      </w:r>
      <w:r>
        <w:rPr>
          <w:rFonts w:ascii="Times New Roman;Times;serif" w:hAnsi="Times New Roman;Times;serif"/>
          <w:b/>
          <w:sz w:val="19"/>
        </w:rPr>
        <w:t>TECHNOLOGY</w:t>
      </w:r>
      <w:r>
        <w:rPr>
          <w:rFonts w:ascii="Arial;Helvetica;sans-serif" w:hAnsi="Arial;Helvetica;sans-serif"/>
          <w:b/>
          <w:spacing w:val="-8"/>
          <w:sz w:val="19"/>
        </w:rPr>
        <w:t xml:space="preserve"> </w:t>
      </w:r>
      <w:r>
        <w:rPr>
          <w:rFonts w:ascii="Times New Roman;Times;serif" w:hAnsi="Times New Roman;Times;serif"/>
          <w:b/>
          <w:sz w:val="19"/>
        </w:rPr>
        <w:t>CO.,</w:t>
      </w:r>
      <w:r>
        <w:rPr>
          <w:rFonts w:ascii="Arial;Helvetica;sans-serif" w:hAnsi="Arial;Helvetica;sans-serif"/>
          <w:b/>
          <w:spacing w:val="-5"/>
          <w:sz w:val="19"/>
        </w:rPr>
        <w:t xml:space="preserve"> </w:t>
      </w:r>
      <w:r>
        <w:rPr>
          <w:rFonts w:ascii="Times New Roman;Times;serif" w:hAnsi="Times New Roman;Times;serif"/>
          <w:b/>
          <w:spacing w:val="-2"/>
          <w:sz w:val="19"/>
        </w:rPr>
        <w:t>LIMITED</w:t>
      </w:r>
    </w:p>
    <w:p>
      <w:pPr>
        <w:pStyle w:val="TextBody"/>
        <w:bidi w:val="0"/>
        <w:spacing w:lineRule="auto" w:line="285" w:before="31" w:after="0"/>
        <w:ind w:left="0" w:right="0" w:hanging="0"/>
        <w:jc w:val="left"/>
        <w:rPr>
          <w:rFonts w:ascii="Arial;Helvetica;sans-serif" w:hAnsi="Arial;Helvetica;sans-serif"/>
          <w:sz w:val="19"/>
        </w:rPr>
      </w:pPr>
      <w:r>
        <w:rPr>
          <w:rFonts w:ascii="Times New Roman;Times;serif" w:hAnsi="Times New Roman;Times;serif"/>
          <w:sz w:val="19"/>
        </w:rPr>
        <w:t>Address:</w:t>
      </w:r>
      <w:r>
        <w:rPr>
          <w:rFonts w:ascii="Arial;Helvetica;sans-serif" w:hAnsi="Arial;Helvetica;sans-serif"/>
          <w:spacing w:val="-5"/>
          <w:sz w:val="19"/>
        </w:rPr>
        <w:t xml:space="preserve"> </w:t>
      </w:r>
      <w:r>
        <w:rPr>
          <w:rFonts w:ascii="Times New Roman;Times;serif" w:hAnsi="Times New Roman;Times;serif"/>
          <w:sz w:val="19"/>
        </w:rPr>
        <w:t>[*]</w:t>
      </w:r>
    </w:p>
    <w:p>
      <w:pPr>
        <w:pStyle w:val="TextBody"/>
        <w:bidi w:val="0"/>
        <w:spacing w:lineRule="auto" w:line="285" w:before="94" w:after="283"/>
        <w:ind w:left="0" w:right="0" w:hanging="0"/>
        <w:jc w:val="left"/>
        <w:rPr/>
      </w:pPr>
      <w:r>
        <w:rPr/>
        <w:t>​</w:t>
      </w:r>
    </w:p>
    <w:p>
      <w:pPr>
        <w:pStyle w:val="TextBody"/>
        <w:bidi w:val="0"/>
        <w:spacing w:lineRule="auto" w:line="307" w:before="0" w:after="120"/>
        <w:ind w:left="0" w:right="461" w:hanging="0"/>
        <w:jc w:val="left"/>
        <w:rPr>
          <w:rFonts w:ascii="Arial;Helvetica;sans-serif" w:hAnsi="Arial;Helvetica;sans-serif"/>
          <w:sz w:val="19"/>
        </w:rPr>
      </w:pPr>
      <w:r>
        <w:rPr>
          <w:rFonts w:ascii="Times New Roman;Times;serif" w:hAnsi="Times New Roman;Times;serif"/>
          <w:sz w:val="19"/>
        </w:rPr>
        <w:t>Seller</w:t>
      </w:r>
      <w:r>
        <w:rPr>
          <w:rFonts w:ascii="Arial;Helvetica;sans-serif" w:hAnsi="Arial;Helvetica;sans-serif"/>
          <w:spacing w:val="-2"/>
          <w:sz w:val="19"/>
        </w:rPr>
        <w:t xml:space="preserve"> </w:t>
      </w:r>
      <w:r>
        <w:rPr>
          <w:rFonts w:ascii="Times New Roman;Times;serif" w:hAnsi="Times New Roman;Times;serif"/>
          <w:sz w:val="19"/>
        </w:rPr>
        <w:t>agrees</w:t>
      </w:r>
      <w:r>
        <w:rPr>
          <w:rFonts w:ascii="Arial;Helvetica;sans-serif" w:hAnsi="Arial;Helvetica;sans-serif"/>
          <w:spacing w:val="-4"/>
          <w:sz w:val="19"/>
        </w:rPr>
        <w:t xml:space="preserve"> </w:t>
      </w:r>
      <w:r>
        <w:rPr>
          <w:rFonts w:ascii="Times New Roman;Times;serif" w:hAnsi="Times New Roman;Times;serif"/>
          <w:sz w:val="19"/>
        </w:rPr>
        <w:t>to</w:t>
      </w:r>
      <w:r>
        <w:rPr>
          <w:rFonts w:ascii="Arial;Helvetica;sans-serif" w:hAnsi="Arial;Helvetica;sans-serif"/>
          <w:spacing w:val="-5"/>
          <w:sz w:val="19"/>
        </w:rPr>
        <w:t xml:space="preserve"> </w:t>
      </w:r>
      <w:r>
        <w:rPr>
          <w:rFonts w:ascii="Times New Roman;Times;serif" w:hAnsi="Times New Roman;Times;serif"/>
          <w:sz w:val="19"/>
        </w:rPr>
        <w:t>sell</w:t>
      </w:r>
      <w:r>
        <w:rPr>
          <w:rFonts w:ascii="Arial;Helvetica;sans-serif" w:hAnsi="Arial;Helvetica;sans-serif"/>
          <w:spacing w:val="-6"/>
          <w:sz w:val="19"/>
        </w:rPr>
        <w:t xml:space="preserve"> </w:t>
      </w:r>
      <w:r>
        <w:rPr>
          <w:rFonts w:ascii="Times New Roman;Times;serif" w:hAnsi="Times New Roman;Times;serif"/>
          <w:sz w:val="19"/>
        </w:rPr>
        <w:t>and</w:t>
      </w:r>
      <w:r>
        <w:rPr>
          <w:rFonts w:ascii="Arial;Helvetica;sans-serif" w:hAnsi="Arial;Helvetica;sans-serif"/>
          <w:spacing w:val="-5"/>
          <w:sz w:val="19"/>
        </w:rPr>
        <w:t xml:space="preserve"> </w:t>
      </w:r>
      <w:r>
        <w:rPr>
          <w:rFonts w:ascii="Times New Roman;Times;serif" w:hAnsi="Times New Roman;Times;serif"/>
          <w:sz w:val="19"/>
        </w:rPr>
        <w:t>Buyer</w:t>
      </w:r>
      <w:r>
        <w:rPr>
          <w:rFonts w:ascii="Arial;Helvetica;sans-serif" w:hAnsi="Arial;Helvetica;sans-serif"/>
          <w:spacing w:val="-2"/>
          <w:sz w:val="19"/>
        </w:rPr>
        <w:t xml:space="preserve"> </w:t>
      </w:r>
      <w:r>
        <w:rPr>
          <w:rFonts w:ascii="Times New Roman;Times;serif" w:hAnsi="Times New Roman;Times;serif"/>
          <w:sz w:val="19"/>
        </w:rPr>
        <w:t>agrees</w:t>
      </w:r>
      <w:r>
        <w:rPr>
          <w:rFonts w:ascii="Arial;Helvetica;sans-serif" w:hAnsi="Arial;Helvetica;sans-serif"/>
          <w:spacing w:val="-4"/>
          <w:sz w:val="19"/>
        </w:rPr>
        <w:t xml:space="preserve"> </w:t>
      </w:r>
      <w:r>
        <w:rPr>
          <w:rFonts w:ascii="Times New Roman;Times;serif" w:hAnsi="Times New Roman;Times;serif"/>
          <w:sz w:val="19"/>
        </w:rPr>
        <w:t>to</w:t>
      </w:r>
      <w:r>
        <w:rPr>
          <w:rFonts w:ascii="Arial;Helvetica;sans-serif" w:hAnsi="Arial;Helvetica;sans-serif"/>
          <w:spacing w:val="-5"/>
          <w:sz w:val="19"/>
        </w:rPr>
        <w:t xml:space="preserve"> </w:t>
      </w:r>
      <w:r>
        <w:rPr>
          <w:rFonts w:ascii="Times New Roman;Times;serif" w:hAnsi="Times New Roman;Times;serif"/>
          <w:sz w:val="19"/>
        </w:rPr>
        <w:t>purchase</w:t>
      </w:r>
      <w:r>
        <w:rPr>
          <w:rFonts w:ascii="Arial;Helvetica;sans-serif" w:hAnsi="Arial;Helvetica;sans-serif"/>
          <w:spacing w:val="-4"/>
          <w:sz w:val="19"/>
        </w:rPr>
        <w:t xml:space="preserve"> </w:t>
      </w:r>
      <w:r>
        <w:rPr>
          <w:rFonts w:ascii="Times New Roman;Times;serif" w:hAnsi="Times New Roman;Times;serif"/>
          <w:sz w:val="19"/>
        </w:rPr>
        <w:t>the</w:t>
      </w:r>
      <w:r>
        <w:rPr>
          <w:rFonts w:ascii="Arial;Helvetica;sans-serif" w:hAnsi="Arial;Helvetica;sans-serif"/>
          <w:spacing w:val="-10"/>
          <w:sz w:val="19"/>
        </w:rPr>
        <w:t xml:space="preserve"> </w:t>
      </w:r>
      <w:r>
        <w:rPr>
          <w:rFonts w:ascii="Times New Roman;Times;serif" w:hAnsi="Times New Roman;Times;serif"/>
          <w:sz w:val="19"/>
        </w:rPr>
        <w:t>Goods</w:t>
      </w:r>
      <w:r>
        <w:rPr>
          <w:rFonts w:ascii="Arial;Helvetica;sans-serif" w:hAnsi="Arial;Helvetica;sans-serif"/>
          <w:spacing w:val="-5"/>
          <w:sz w:val="19"/>
        </w:rPr>
        <w:t xml:space="preserve"> </w:t>
      </w:r>
      <w:r>
        <w:rPr>
          <w:rFonts w:ascii="Times New Roman;Times;serif" w:hAnsi="Times New Roman;Times;serif"/>
          <w:sz w:val="19"/>
        </w:rPr>
        <w:t>described</w:t>
      </w:r>
      <w:r>
        <w:rPr>
          <w:rFonts w:ascii="Arial;Helvetica;sans-serif" w:hAnsi="Arial;Helvetica;sans-serif"/>
          <w:spacing w:val="-4"/>
          <w:sz w:val="19"/>
        </w:rPr>
        <w:t xml:space="preserve"> </w:t>
      </w:r>
      <w:r>
        <w:rPr>
          <w:rFonts w:ascii="Times New Roman;Times;serif" w:hAnsi="Times New Roman;Times;serif"/>
          <w:sz w:val="19"/>
        </w:rPr>
        <w:t>herein,</w:t>
      </w:r>
      <w:r>
        <w:rPr>
          <w:rFonts w:ascii="Arial;Helvetica;sans-serif" w:hAnsi="Arial;Helvetica;sans-serif"/>
          <w:spacing w:val="-2"/>
          <w:sz w:val="19"/>
        </w:rPr>
        <w:t xml:space="preserve"> </w:t>
      </w:r>
      <w:r>
        <w:rPr>
          <w:rFonts w:ascii="Times New Roman;Times;serif" w:hAnsi="Times New Roman;Times;serif"/>
          <w:sz w:val="19"/>
        </w:rPr>
        <w:t>subject</w:t>
      </w:r>
      <w:r>
        <w:rPr>
          <w:rFonts w:ascii="Arial;Helvetica;sans-serif" w:hAnsi="Arial;Helvetica;sans-serif"/>
          <w:spacing w:val="-6"/>
          <w:sz w:val="19"/>
        </w:rPr>
        <w:t xml:space="preserve"> </w:t>
      </w:r>
      <w:r>
        <w:rPr>
          <w:rFonts w:ascii="Times New Roman;Times;serif" w:hAnsi="Times New Roman;Times;serif"/>
          <w:sz w:val="19"/>
        </w:rPr>
        <w:t>to</w:t>
      </w:r>
      <w:r>
        <w:rPr>
          <w:rFonts w:ascii="Arial;Helvetica;sans-serif" w:hAnsi="Arial;Helvetica;sans-serif"/>
          <w:spacing w:val="-10"/>
          <w:sz w:val="19"/>
        </w:rPr>
        <w:t xml:space="preserve"> </w:t>
      </w:r>
      <w:r>
        <w:rPr>
          <w:rFonts w:ascii="Times New Roman;Times;serif" w:hAnsi="Times New Roman;Times;serif"/>
          <w:sz w:val="19"/>
        </w:rPr>
        <w:t>the</w:t>
      </w:r>
      <w:r>
        <w:rPr>
          <w:rFonts w:ascii="Arial;Helvetica;sans-serif" w:hAnsi="Arial;Helvetica;sans-serif"/>
          <w:spacing w:val="-5"/>
          <w:sz w:val="19"/>
        </w:rPr>
        <w:t xml:space="preserve"> </w:t>
      </w:r>
      <w:r>
        <w:rPr>
          <w:rFonts w:ascii="Times New Roman;Times;serif" w:hAnsi="Times New Roman;Times;serif"/>
          <w:sz w:val="19"/>
        </w:rPr>
        <w:t>terms</w:t>
      </w:r>
      <w:r>
        <w:rPr>
          <w:rFonts w:ascii="Arial;Helvetica;sans-serif" w:hAnsi="Arial;Helvetica;sans-serif"/>
          <w:spacing w:val="-5"/>
          <w:sz w:val="19"/>
        </w:rPr>
        <w:t xml:space="preserve"> </w:t>
      </w:r>
      <w:r>
        <w:rPr>
          <w:rFonts w:ascii="Times New Roman;Times;serif" w:hAnsi="Times New Roman;Times;serif"/>
          <w:sz w:val="19"/>
        </w:rPr>
        <w:t>and</w:t>
      </w:r>
      <w:r>
        <w:rPr>
          <w:rFonts w:ascii="Arial;Helvetica;sans-serif" w:hAnsi="Arial;Helvetica;sans-serif"/>
          <w:spacing w:val="-5"/>
          <w:sz w:val="19"/>
        </w:rPr>
        <w:t xml:space="preserve"> </w:t>
      </w:r>
      <w:r>
        <w:rPr>
          <w:rFonts w:ascii="Times New Roman;Times;serif" w:hAnsi="Times New Roman;Times;serif"/>
          <w:sz w:val="19"/>
        </w:rPr>
        <w:t>conditions</w:t>
      </w:r>
      <w:r>
        <w:rPr>
          <w:rFonts w:ascii="Arial;Helvetica;sans-serif" w:hAnsi="Arial;Helvetica;sans-serif"/>
          <w:spacing w:val="-5"/>
          <w:sz w:val="19"/>
        </w:rPr>
        <w:t xml:space="preserve"> </w:t>
      </w:r>
      <w:r>
        <w:rPr>
          <w:rFonts w:ascii="Times New Roman;Times;serif" w:hAnsi="Times New Roman;Times;serif"/>
          <w:sz w:val="19"/>
        </w:rPr>
        <w:t>set forth in this Contract.</w:t>
      </w:r>
    </w:p>
    <w:tbl>
      <w:tblPr>
        <w:tblW w:w="962" w:type="dxa"/>
        <w:jc w:val="left"/>
        <w:tblInd w:w="0" w:type="dxa"/>
        <w:tblLayout w:type="fixed"/>
        <w:tblCellMar>
          <w:top w:w="0" w:type="dxa"/>
          <w:left w:w="0" w:type="dxa"/>
          <w:bottom w:w="0" w:type="dxa"/>
          <w:right w:w="0" w:type="dxa"/>
        </w:tblCellMar>
      </w:tblPr>
      <w:tblGrid>
        <w:gridCol w:w="185"/>
        <w:gridCol w:w="777"/>
      </w:tblGrid>
      <w:tr>
        <w:trPr/>
        <w:tc>
          <w:tcPr>
            <w:tcW w:w="185" w:type="dxa"/>
            <w:tcBorders/>
            <w:vAlign w:val="center"/>
          </w:tcPr>
          <w:p>
            <w:pPr>
              <w:pStyle w:val="TableContents"/>
              <w:bidi w:val="0"/>
              <w:spacing w:before="0" w:after="283"/>
              <w:jc w:val="left"/>
              <w:rPr>
                <w:rFonts w:ascii="Times New Roman;Times;serif" w:hAnsi="Times New Roman;Times;serif"/>
                <w:b/>
                <w:sz w:val="21"/>
              </w:rPr>
            </w:pPr>
            <w:r>
              <w:rPr>
                <w:rFonts w:ascii="Times New Roman;Times;serif" w:hAnsi="Times New Roman;Times;serif"/>
                <w:b/>
                <w:sz w:val="21"/>
              </w:rPr>
              <w:t>1.</w:t>
            </w:r>
          </w:p>
        </w:tc>
        <w:tc>
          <w:tcPr>
            <w:tcW w:w="777" w:type="dxa"/>
            <w:tcBorders/>
            <w:vAlign w:val="center"/>
          </w:tcPr>
          <w:p>
            <w:pPr>
              <w:pStyle w:val="TableContents"/>
              <w:bidi w:val="0"/>
              <w:spacing w:before="0" w:after="283"/>
              <w:jc w:val="left"/>
              <w:rPr>
                <w:rFonts w:ascii="Times New Roman;Times;serif" w:hAnsi="Times New Roman;Times;serif"/>
                <w:b/>
                <w:i w:val="false"/>
                <w:caps w:val="false"/>
                <w:smallCaps w:val="false"/>
                <w:spacing w:val="-2"/>
                <w:sz w:val="21"/>
              </w:rPr>
            </w:pPr>
            <w:r>
              <w:rPr>
                <w:rFonts w:ascii="Times New Roman;Times;serif" w:hAnsi="Times New Roman;Times;serif"/>
                <w:b/>
                <w:i w:val="false"/>
                <w:caps w:val="false"/>
                <w:smallCaps w:val="false"/>
                <w:spacing w:val="-2"/>
                <w:sz w:val="21"/>
              </w:rPr>
              <w:t>GOODS</w:t>
            </w:r>
          </w:p>
        </w:tc>
      </w:tr>
    </w:tbl>
    <w:p>
      <w:pPr>
        <w:pStyle w:val="TextBody"/>
        <w:bidi w:val="0"/>
        <w:spacing w:lineRule="auto" w:line="300" w:before="104" w:after="0"/>
        <w:ind w:left="0" w:right="0" w:hanging="0"/>
        <w:jc w:val="left"/>
        <w:rPr>
          <w:rFonts w:ascii="Arial;Helvetica;sans-serif" w:hAnsi="Arial;Helvetica;sans-serif"/>
          <w:sz w:val="19"/>
        </w:rPr>
      </w:pPr>
      <w:r>
        <w:rPr>
          <w:rFonts w:ascii="Times New Roman;Times;serif" w:hAnsi="Times New Roman;Times;serif"/>
          <w:sz w:val="19"/>
        </w:rPr>
        <w:t>The</w:t>
      </w:r>
      <w:r>
        <w:rPr>
          <w:rFonts w:ascii="Arial;Helvetica;sans-serif" w:hAnsi="Arial;Helvetica;sans-serif"/>
          <w:spacing w:val="-5"/>
          <w:sz w:val="19"/>
        </w:rPr>
        <w:t xml:space="preserve"> </w:t>
      </w:r>
      <w:r>
        <w:rPr>
          <w:rFonts w:ascii="Times New Roman;Times;serif" w:hAnsi="Times New Roman;Times;serif"/>
          <w:sz w:val="19"/>
        </w:rPr>
        <w:t>Goods</w:t>
      </w:r>
      <w:r>
        <w:rPr>
          <w:rFonts w:ascii="Arial;Helvetica;sans-serif" w:hAnsi="Arial;Helvetica;sans-serif"/>
          <w:spacing w:val="-5"/>
          <w:sz w:val="19"/>
        </w:rPr>
        <w:t xml:space="preserve"> </w:t>
      </w:r>
      <w:r>
        <w:rPr>
          <w:rFonts w:ascii="Times New Roman;Times;serif" w:hAnsi="Times New Roman;Times;serif"/>
          <w:sz w:val="19"/>
        </w:rPr>
        <w:t>under</w:t>
      </w:r>
      <w:r>
        <w:rPr>
          <w:rFonts w:ascii="Arial;Helvetica;sans-serif" w:hAnsi="Arial;Helvetica;sans-serif"/>
          <w:spacing w:val="-3"/>
          <w:sz w:val="19"/>
        </w:rPr>
        <w:t xml:space="preserve"> </w:t>
      </w:r>
      <w:r>
        <w:rPr>
          <w:rFonts w:ascii="Times New Roman;Times;serif" w:hAnsi="Times New Roman;Times;serif"/>
          <w:sz w:val="19"/>
        </w:rPr>
        <w:t>this</w:t>
      </w:r>
      <w:r>
        <w:rPr>
          <w:rFonts w:ascii="Arial;Helvetica;sans-serif" w:hAnsi="Arial;Helvetica;sans-serif"/>
          <w:spacing w:val="-5"/>
          <w:sz w:val="19"/>
        </w:rPr>
        <w:t xml:space="preserve"> </w:t>
      </w:r>
      <w:r>
        <w:rPr>
          <w:rFonts w:ascii="Times New Roman;Times;serif" w:hAnsi="Times New Roman;Times;serif"/>
          <w:sz w:val="19"/>
        </w:rPr>
        <w:t>Contract</w:t>
      </w:r>
      <w:r>
        <w:rPr>
          <w:rFonts w:ascii="Arial;Helvetica;sans-serif" w:hAnsi="Arial;Helvetica;sans-serif"/>
          <w:spacing w:val="-6"/>
          <w:sz w:val="19"/>
        </w:rPr>
        <w:t xml:space="preserve"> </w:t>
      </w:r>
      <w:r>
        <w:rPr>
          <w:rFonts w:ascii="Times New Roman;Times;serif" w:hAnsi="Times New Roman;Times;serif"/>
          <w:sz w:val="19"/>
        </w:rPr>
        <w:t>are</w:t>
      </w:r>
      <w:r>
        <w:rPr>
          <w:rFonts w:ascii="Arial;Helvetica;sans-serif" w:hAnsi="Arial;Helvetica;sans-serif"/>
          <w:spacing w:val="-5"/>
          <w:sz w:val="19"/>
        </w:rPr>
        <w:t xml:space="preserve"> </w:t>
      </w:r>
      <w:r>
        <w:rPr>
          <w:rFonts w:ascii="Times New Roman;Times;serif" w:hAnsi="Times New Roman;Times;serif"/>
          <w:sz w:val="19"/>
        </w:rPr>
        <w:t>12ft</w:t>
      </w:r>
      <w:r>
        <w:rPr>
          <w:rFonts w:ascii="Arial;Helvetica;sans-serif" w:hAnsi="Arial;Helvetica;sans-serif"/>
          <w:spacing w:val="-3"/>
          <w:sz w:val="19"/>
        </w:rPr>
        <w:t xml:space="preserve"> </w:t>
      </w:r>
      <w:r>
        <w:rPr>
          <w:rFonts w:ascii="Times New Roman;Times;serif" w:hAnsi="Times New Roman;Times;serif"/>
          <w:sz w:val="19"/>
        </w:rPr>
        <w:t>LED</w:t>
      </w:r>
      <w:r>
        <w:rPr>
          <w:rFonts w:ascii="Arial;Helvetica;sans-serif" w:hAnsi="Arial;Helvetica;sans-serif"/>
          <w:spacing w:val="-7"/>
          <w:sz w:val="19"/>
        </w:rPr>
        <w:t xml:space="preserve"> </w:t>
      </w:r>
      <w:r>
        <w:rPr>
          <w:rFonts w:ascii="Times New Roman;Times;serif" w:hAnsi="Times New Roman;Times;serif"/>
          <w:sz w:val="19"/>
        </w:rPr>
        <w:t>light</w:t>
      </w:r>
      <w:r>
        <w:rPr>
          <w:rFonts w:ascii="Arial;Helvetica;sans-serif" w:hAnsi="Arial;Helvetica;sans-serif"/>
          <w:spacing w:val="-3"/>
          <w:sz w:val="19"/>
        </w:rPr>
        <w:t xml:space="preserve"> </w:t>
      </w:r>
      <w:r>
        <w:rPr>
          <w:rFonts w:ascii="Times New Roman;Times;serif" w:hAnsi="Times New Roman;Times;serif"/>
          <w:sz w:val="19"/>
        </w:rPr>
        <w:t>strips</w:t>
      </w:r>
      <w:r>
        <w:rPr>
          <w:rFonts w:ascii="Arial;Helvetica;sans-serif" w:hAnsi="Arial;Helvetica;sans-serif"/>
          <w:spacing w:val="-5"/>
          <w:sz w:val="19"/>
        </w:rPr>
        <w:t xml:space="preserve"> </w:t>
      </w:r>
      <w:r>
        <w:rPr>
          <w:rFonts w:ascii="Times New Roman;Times;serif" w:hAnsi="Times New Roman;Times;serif"/>
          <w:sz w:val="19"/>
        </w:rPr>
        <w:t>with</w:t>
      </w:r>
      <w:r>
        <w:rPr>
          <w:rFonts w:ascii="Arial;Helvetica;sans-serif" w:hAnsi="Arial;Helvetica;sans-serif"/>
          <w:spacing w:val="-9"/>
          <w:sz w:val="19"/>
        </w:rPr>
        <w:t xml:space="preserve"> </w:t>
      </w:r>
      <w:r>
        <w:rPr>
          <w:rFonts w:ascii="Times New Roman;Times;serif" w:hAnsi="Times New Roman;Times;serif"/>
          <w:sz w:val="19"/>
        </w:rPr>
        <w:t>IR</w:t>
      </w:r>
      <w:r>
        <w:rPr>
          <w:rFonts w:ascii="Arial;Helvetica;sans-serif" w:hAnsi="Arial;Helvetica;sans-serif"/>
          <w:spacing w:val="-7"/>
          <w:sz w:val="19"/>
        </w:rPr>
        <w:t xml:space="preserve"> </w:t>
      </w:r>
      <w:r>
        <w:rPr>
          <w:rFonts w:ascii="Times New Roman;Times;serif" w:hAnsi="Times New Roman;Times;serif"/>
          <w:sz w:val="19"/>
        </w:rPr>
        <w:t>Controller,</w:t>
      </w:r>
      <w:r>
        <w:rPr>
          <w:rFonts w:ascii="Arial;Helvetica;sans-serif" w:hAnsi="Arial;Helvetica;sans-serif"/>
          <w:spacing w:val="-3"/>
          <w:sz w:val="19"/>
        </w:rPr>
        <w:t xml:space="preserve"> </w:t>
      </w:r>
      <w:r>
        <w:rPr>
          <w:rFonts w:ascii="Times New Roman;Times;serif" w:hAnsi="Times New Roman;Times;serif"/>
          <w:sz w:val="19"/>
        </w:rPr>
        <w:t>in</w:t>
      </w:r>
      <w:r>
        <w:rPr>
          <w:rFonts w:ascii="Arial;Helvetica;sans-serif" w:hAnsi="Arial;Helvetica;sans-serif"/>
          <w:spacing w:val="-5"/>
          <w:sz w:val="19"/>
        </w:rPr>
        <w:t xml:space="preserve"> </w:t>
      </w:r>
      <w:r>
        <w:rPr>
          <w:rFonts w:ascii="Times New Roman;Times;serif" w:hAnsi="Times New Roman;Times;serif"/>
          <w:sz w:val="19"/>
        </w:rPr>
        <w:t>a</w:t>
      </w:r>
      <w:r>
        <w:rPr>
          <w:rFonts w:ascii="Arial;Helvetica;sans-serif" w:hAnsi="Arial;Helvetica;sans-serif"/>
          <w:spacing w:val="-5"/>
          <w:sz w:val="19"/>
        </w:rPr>
        <w:t xml:space="preserve"> </w:t>
      </w:r>
      <w:r>
        <w:rPr>
          <w:rFonts w:ascii="Times New Roman;Times;serif" w:hAnsi="Times New Roman;Times;serif"/>
          <w:sz w:val="19"/>
        </w:rPr>
        <w:t>total</w:t>
      </w:r>
      <w:r>
        <w:rPr>
          <w:rFonts w:ascii="Arial;Helvetica;sans-serif" w:hAnsi="Arial;Helvetica;sans-serif"/>
          <w:spacing w:val="-6"/>
          <w:sz w:val="19"/>
        </w:rPr>
        <w:t xml:space="preserve"> </w:t>
      </w:r>
      <w:r>
        <w:rPr>
          <w:rFonts w:ascii="Times New Roman;Times;serif" w:hAnsi="Times New Roman;Times;serif"/>
          <w:sz w:val="19"/>
        </w:rPr>
        <w:t>quantity</w:t>
      </w:r>
      <w:r>
        <w:rPr>
          <w:rFonts w:ascii="Arial;Helvetica;sans-serif" w:hAnsi="Arial;Helvetica;sans-serif"/>
          <w:spacing w:val="-4"/>
          <w:sz w:val="19"/>
        </w:rPr>
        <w:t xml:space="preserve"> </w:t>
      </w:r>
      <w:r>
        <w:rPr>
          <w:rFonts w:ascii="Times New Roman;Times;serif" w:hAnsi="Times New Roman;Times;serif"/>
          <w:sz w:val="19"/>
        </w:rPr>
        <w:t>of</w:t>
      </w:r>
      <w:r>
        <w:rPr>
          <w:rFonts w:ascii="Arial;Helvetica;sans-serif" w:hAnsi="Arial;Helvetica;sans-serif"/>
          <w:spacing w:val="-3"/>
          <w:sz w:val="19"/>
        </w:rPr>
        <w:t xml:space="preserve"> </w:t>
      </w:r>
      <w:r>
        <w:rPr>
          <w:rFonts w:ascii="Times New Roman;Times;serif" w:hAnsi="Times New Roman;Times;serif"/>
          <w:sz w:val="19"/>
        </w:rPr>
        <w:t>100,000</w:t>
      </w:r>
      <w:r>
        <w:rPr>
          <w:rFonts w:ascii="Arial;Helvetica;sans-serif" w:hAnsi="Arial;Helvetica;sans-serif"/>
          <w:spacing w:val="-5"/>
          <w:sz w:val="19"/>
        </w:rPr>
        <w:t xml:space="preserve"> </w:t>
      </w:r>
      <w:r>
        <w:rPr>
          <w:rFonts w:ascii="Times New Roman;Times;serif" w:hAnsi="Times New Roman;Times;serif"/>
          <w:sz w:val="19"/>
        </w:rPr>
        <w:t>units.</w:t>
      </w:r>
      <w:r>
        <w:rPr>
          <w:rFonts w:ascii="Arial;Helvetica;sans-serif" w:hAnsi="Arial;Helvetica;sans-serif"/>
          <w:spacing w:val="-3"/>
          <w:sz w:val="19"/>
        </w:rPr>
        <w:t xml:space="preserve"> </w:t>
      </w:r>
      <w:r>
        <w:rPr>
          <w:rFonts w:ascii="Times New Roman;Times;serif" w:hAnsi="Times New Roman;Times;serif"/>
          <w:sz w:val="19"/>
        </w:rPr>
        <w:t>The description, quantity, unit price and amount are as follows:</w:t>
      </w:r>
    </w:p>
    <w:p>
      <w:pPr>
        <w:pStyle w:val="TextBody"/>
        <w:bidi w:val="0"/>
        <w:spacing w:lineRule="auto" w:line="285" w:before="94" w:after="0"/>
        <w:ind w:left="0" w:right="0" w:hanging="0"/>
        <w:jc w:val="left"/>
        <w:rPr/>
      </w:pPr>
      <w:r>
        <w:rPr/>
        <w:t>​</w:t>
      </w:r>
    </w:p>
    <w:tbl>
      <w:tblPr>
        <w:tblW w:w="5314" w:type="dxa"/>
        <w:jc w:val="left"/>
        <w:tblInd w:w="0" w:type="dxa"/>
        <w:tblLayout w:type="fixed"/>
        <w:tblCellMar>
          <w:top w:w="28" w:type="dxa"/>
          <w:left w:w="28" w:type="dxa"/>
          <w:bottom w:w="28" w:type="dxa"/>
          <w:right w:w="28" w:type="dxa"/>
        </w:tblCellMar>
      </w:tblPr>
      <w:tblGrid>
        <w:gridCol w:w="818"/>
        <w:gridCol w:w="1445"/>
        <w:gridCol w:w="679"/>
        <w:gridCol w:w="1054"/>
        <w:gridCol w:w="1318"/>
      </w:tblGrid>
      <w:tr>
        <w:trPr/>
        <w:tc>
          <w:tcPr>
            <w:tcW w:w="81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rFonts w:ascii="Times New Roman;Times;serif" w:hAnsi="Times New Roman;Times;serif"/>
                <w:b/>
                <w:spacing w:val="-4"/>
                <w:sz w:val="17"/>
              </w:rPr>
            </w:pPr>
            <w:r>
              <w:rPr>
                <w:rFonts w:ascii="Times New Roman;Times;serif" w:hAnsi="Times New Roman;Times;serif"/>
                <w:b/>
                <w:spacing w:val="-4"/>
                <w:sz w:val="17"/>
              </w:rPr>
              <w:t>Item</w:t>
            </w:r>
          </w:p>
        </w:tc>
        <w:tc>
          <w:tcPr>
            <w:tcW w:w="14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rFonts w:ascii="Times New Roman;Times;serif" w:hAnsi="Times New Roman;Times;serif"/>
                <w:b/>
                <w:spacing w:val="-2"/>
                <w:sz w:val="17"/>
              </w:rPr>
            </w:pPr>
            <w:r>
              <w:rPr>
                <w:rFonts w:ascii="Times New Roman;Times;serif" w:hAnsi="Times New Roman;Times;serif"/>
                <w:b/>
                <w:spacing w:val="-2"/>
                <w:sz w:val="17"/>
              </w:rPr>
              <w:t>Description</w:t>
            </w:r>
          </w:p>
        </w:tc>
        <w:tc>
          <w:tcPr>
            <w:tcW w:w="67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rFonts w:ascii="Times New Roman;Times;serif" w:hAnsi="Times New Roman;Times;serif"/>
                <w:b/>
                <w:spacing w:val="-4"/>
                <w:sz w:val="17"/>
              </w:rPr>
            </w:pPr>
            <w:r>
              <w:rPr>
                <w:rFonts w:ascii="Times New Roman;Times;serif" w:hAnsi="Times New Roman;Times;serif"/>
                <w:b/>
                <w:spacing w:val="-4"/>
                <w:sz w:val="17"/>
              </w:rPr>
              <w:t>Qty.</w:t>
            </w:r>
          </w:p>
        </w:tc>
        <w:tc>
          <w:tcPr>
            <w:tcW w:w="105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Times New Roman;Times;serif" w:hAnsi="Times New Roman;Times;serif"/>
                <w:b/>
                <w:sz w:val="17"/>
              </w:rPr>
              <w:t>Unit</w:t>
            </w:r>
            <w:r>
              <w:rPr>
                <w:rFonts w:ascii="Arial;Helvetica;sans-serif" w:hAnsi="Arial;Helvetica;sans-serif"/>
                <w:spacing w:val="-9"/>
                <w:sz w:val="16"/>
              </w:rPr>
              <w:t xml:space="preserve"> </w:t>
            </w:r>
            <w:r>
              <w:rPr>
                <w:rFonts w:ascii="Times New Roman;Times;serif" w:hAnsi="Times New Roman;Times;serif"/>
                <w:b/>
                <w:spacing w:val="-2"/>
                <w:sz w:val="17"/>
              </w:rPr>
              <w:t>Price</w:t>
            </w:r>
          </w:p>
        </w:tc>
        <w:tc>
          <w:tcPr>
            <w:tcW w:w="131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rFonts w:ascii="Times New Roman;Times;serif" w:hAnsi="Times New Roman;Times;serif"/>
                <w:b/>
                <w:spacing w:val="-2"/>
                <w:sz w:val="17"/>
              </w:rPr>
            </w:pPr>
            <w:r>
              <w:rPr>
                <w:rFonts w:ascii="Times New Roman;Times;serif" w:hAnsi="Times New Roman;Times;serif"/>
                <w:b/>
                <w:spacing w:val="-2"/>
                <w:sz w:val="17"/>
              </w:rPr>
              <w:t>Amount</w:t>
            </w:r>
          </w:p>
        </w:tc>
      </w:tr>
      <w:tr>
        <w:trPr/>
        <w:tc>
          <w:tcPr>
            <w:tcW w:w="81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Times New Roman;Times;serif" w:hAnsi="Times New Roman;Times;serif"/>
                <w:sz w:val="17"/>
              </w:rPr>
              <w:t>LED</w:t>
            </w:r>
            <w:r>
              <w:rPr>
                <w:rFonts w:ascii="Arial;Helvetica;sans-serif" w:hAnsi="Arial;Helvetica;sans-serif"/>
                <w:spacing w:val="-6"/>
                <w:sz w:val="16"/>
              </w:rPr>
              <w:t xml:space="preserve"> </w:t>
            </w:r>
            <w:r>
              <w:rPr>
                <w:rFonts w:ascii="Times New Roman;Times;serif" w:hAnsi="Times New Roman;Times;serif"/>
                <w:spacing w:val="-2"/>
                <w:sz w:val="17"/>
              </w:rPr>
              <w:t>Strip</w:t>
            </w:r>
          </w:p>
        </w:tc>
        <w:tc>
          <w:tcPr>
            <w:tcW w:w="14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Times New Roman;Times;serif" w:hAnsi="Times New Roman;Times;serif"/>
                <w:spacing w:val="-2"/>
                <w:sz w:val="17"/>
              </w:rPr>
              <w:t>12ft</w:t>
            </w:r>
            <w:r>
              <w:rPr>
                <w:rFonts w:ascii="Arial;Helvetica;sans-serif" w:hAnsi="Arial;Helvetica;sans-serif"/>
                <w:spacing w:val="-12"/>
                <w:sz w:val="16"/>
              </w:rPr>
              <w:t xml:space="preserve"> </w:t>
            </w:r>
            <w:r>
              <w:rPr>
                <w:rFonts w:ascii="Times New Roman;Times;serif" w:hAnsi="Times New Roman;Times;serif"/>
                <w:spacing w:val="-2"/>
                <w:sz w:val="17"/>
              </w:rPr>
              <w:t>LED</w:t>
            </w:r>
            <w:r>
              <w:rPr>
                <w:rFonts w:ascii="Arial;Helvetica;sans-serif" w:hAnsi="Arial;Helvetica;sans-serif"/>
                <w:spacing w:val="-9"/>
                <w:sz w:val="16"/>
              </w:rPr>
              <w:t xml:space="preserve"> </w:t>
            </w:r>
            <w:r>
              <w:rPr>
                <w:rFonts w:ascii="Times New Roman;Times;serif" w:hAnsi="Times New Roman;Times;serif"/>
                <w:spacing w:val="-2"/>
                <w:sz w:val="17"/>
              </w:rPr>
              <w:t>light</w:t>
            </w:r>
            <w:r>
              <w:rPr>
                <w:rFonts w:ascii="Arial;Helvetica;sans-serif" w:hAnsi="Arial;Helvetica;sans-serif"/>
                <w:spacing w:val="-12"/>
                <w:sz w:val="16"/>
              </w:rPr>
              <w:t xml:space="preserve"> </w:t>
            </w:r>
            <w:r>
              <w:rPr>
                <w:rFonts w:ascii="Times New Roman;Times;serif" w:hAnsi="Times New Roman;Times;serif"/>
                <w:spacing w:val="-2"/>
                <w:sz w:val="17"/>
              </w:rPr>
              <w:t>strip</w:t>
              <w:br/>
              <w:t xml:space="preserve">with </w:t>
            </w:r>
            <w:r>
              <w:rPr>
                <w:rFonts w:ascii="Times New Roman;Times;serif" w:hAnsi="Times New Roman;Times;serif"/>
                <w:sz w:val="17"/>
              </w:rPr>
              <w:t>IR Controller</w:t>
            </w:r>
          </w:p>
        </w:tc>
        <w:tc>
          <w:tcPr>
            <w:tcW w:w="67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rFonts w:ascii="Times New Roman;Times;serif" w:hAnsi="Times New Roman;Times;serif"/>
                <w:spacing w:val="-2"/>
                <w:sz w:val="17"/>
              </w:rPr>
            </w:pPr>
            <w:r>
              <w:rPr>
                <w:rFonts w:ascii="Times New Roman;Times;serif" w:hAnsi="Times New Roman;Times;serif"/>
                <w:spacing w:val="-2"/>
                <w:sz w:val="17"/>
              </w:rPr>
              <w:t>100,000</w:t>
            </w:r>
          </w:p>
        </w:tc>
        <w:tc>
          <w:tcPr>
            <w:tcW w:w="105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Times New Roman;Times;serif" w:hAnsi="Times New Roman;Times;serif"/>
                <w:sz w:val="17"/>
              </w:rPr>
              <w:t>USD</w:t>
            </w:r>
            <w:r>
              <w:rPr>
                <w:rFonts w:ascii="Arial;Helvetica;sans-serif" w:hAnsi="Arial;Helvetica;sans-serif"/>
                <w:spacing w:val="-5"/>
                <w:sz w:val="16"/>
              </w:rPr>
              <w:t xml:space="preserve"> </w:t>
            </w:r>
            <w:r>
              <w:rPr>
                <w:rFonts w:ascii="Times New Roman;Times;serif" w:hAnsi="Times New Roman;Times;serif"/>
                <w:spacing w:val="-2"/>
                <w:sz w:val="17"/>
              </w:rPr>
              <w:t>2.08909</w:t>
            </w:r>
          </w:p>
        </w:tc>
        <w:tc>
          <w:tcPr>
            <w:tcW w:w="131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Times New Roman;Times;serif" w:hAnsi="Times New Roman;Times;serif"/>
                <w:sz w:val="17"/>
              </w:rPr>
              <w:t>USD</w:t>
            </w:r>
            <w:r>
              <w:rPr>
                <w:rFonts w:ascii="Arial;Helvetica;sans-serif" w:hAnsi="Arial;Helvetica;sans-serif"/>
                <w:spacing w:val="-5"/>
                <w:sz w:val="16"/>
              </w:rPr>
              <w:t xml:space="preserve"> </w:t>
            </w:r>
            <w:r>
              <w:rPr>
                <w:rFonts w:ascii="Times New Roman;Times;serif" w:hAnsi="Times New Roman;Times;serif"/>
                <w:spacing w:val="-2"/>
                <w:sz w:val="17"/>
              </w:rPr>
              <w:t>208,909.00</w:t>
            </w:r>
          </w:p>
        </w:tc>
      </w:tr>
    </w:tbl>
    <w:p>
      <w:pPr>
        <w:pStyle w:val="TextBody"/>
        <w:bidi w:val="0"/>
        <w:spacing w:lineRule="auto" w:line="285" w:before="0" w:after="0"/>
        <w:ind w:left="0" w:right="0" w:hanging="0"/>
        <w:jc w:val="left"/>
        <w:rPr/>
      </w:pPr>
      <w:r>
        <w:rPr/>
        <w:t>​</w:t>
      </w:r>
    </w:p>
    <w:tbl>
      <w:tblPr>
        <w:tblW w:w="2087" w:type="dxa"/>
        <w:jc w:val="left"/>
        <w:tblInd w:w="0" w:type="dxa"/>
        <w:tblLayout w:type="fixed"/>
        <w:tblCellMar>
          <w:top w:w="0" w:type="dxa"/>
          <w:left w:w="0" w:type="dxa"/>
          <w:bottom w:w="0" w:type="dxa"/>
          <w:right w:w="0" w:type="dxa"/>
        </w:tblCellMar>
      </w:tblPr>
      <w:tblGrid>
        <w:gridCol w:w="185"/>
        <w:gridCol w:w="1902"/>
      </w:tblGrid>
      <w:tr>
        <w:trPr/>
        <w:tc>
          <w:tcPr>
            <w:tcW w:w="185" w:type="dxa"/>
            <w:tcBorders/>
            <w:vAlign w:val="center"/>
          </w:tcPr>
          <w:p>
            <w:pPr>
              <w:pStyle w:val="TableContents"/>
              <w:bidi w:val="0"/>
              <w:spacing w:before="0" w:after="283"/>
              <w:jc w:val="left"/>
              <w:rPr>
                <w:rFonts w:ascii="Times New Roman;Times;serif" w:hAnsi="Times New Roman;Times;serif"/>
                <w:b/>
                <w:sz w:val="21"/>
              </w:rPr>
            </w:pPr>
            <w:r>
              <w:rPr>
                <w:rFonts w:ascii="Times New Roman;Times;serif" w:hAnsi="Times New Roman;Times;serif"/>
                <w:b/>
                <w:sz w:val="21"/>
              </w:rPr>
              <w:t>2.</w:t>
            </w:r>
          </w:p>
        </w:tc>
        <w:tc>
          <w:tcPr>
            <w:tcW w:w="1902"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1"/>
              </w:rPr>
              <w:t>CONTRACT</w:t>
            </w:r>
            <w:r>
              <w:rPr>
                <w:caps w:val="false"/>
                <w:smallCaps w:val="false"/>
                <w:spacing w:val="-13"/>
              </w:rPr>
              <w:t xml:space="preserve"> </w:t>
            </w:r>
            <w:r>
              <w:rPr>
                <w:rFonts w:ascii="Times New Roman;Times;serif" w:hAnsi="Times New Roman;Times;serif"/>
                <w:b/>
                <w:i w:val="false"/>
                <w:caps w:val="false"/>
                <w:smallCaps w:val="false"/>
                <w:spacing w:val="-2"/>
                <w:sz w:val="21"/>
              </w:rPr>
              <w:t>PRICE</w:t>
            </w:r>
          </w:p>
        </w:tc>
      </w:tr>
    </w:tbl>
    <w:p>
      <w:pPr>
        <w:pStyle w:val="TextBody"/>
        <w:bidi w:val="0"/>
        <w:spacing w:lineRule="auto" w:line="300" w:before="104" w:after="0"/>
        <w:ind w:left="0" w:right="0" w:hanging="0"/>
        <w:jc w:val="left"/>
        <w:rPr>
          <w:rFonts w:ascii="Arial;Helvetica;sans-serif" w:hAnsi="Arial;Helvetica;sans-serif"/>
          <w:sz w:val="19"/>
        </w:rPr>
      </w:pPr>
      <w:r>
        <w:rPr>
          <w:rFonts w:ascii="Times New Roman;Times;serif" w:hAnsi="Times New Roman;Times;serif"/>
          <w:sz w:val="19"/>
        </w:rPr>
        <w:t>The total Contract Price is United States Dollars Two Hundred Eight Thousand Nine Hundred Nine Only (USD 208,909.00).</w:t>
      </w:r>
      <w:r>
        <w:rPr>
          <w:rFonts w:ascii="Arial;Helvetica;sans-serif" w:hAnsi="Arial;Helvetica;sans-serif"/>
          <w:spacing w:val="-6"/>
          <w:sz w:val="19"/>
        </w:rPr>
        <w:t xml:space="preserve"> </w:t>
      </w:r>
      <w:r>
        <w:rPr>
          <w:rFonts w:ascii="Times New Roman;Times;serif" w:hAnsi="Times New Roman;Times;serif"/>
          <w:sz w:val="19"/>
        </w:rPr>
        <w:t>Unless</w:t>
      </w:r>
      <w:r>
        <w:rPr>
          <w:rFonts w:ascii="Arial;Helvetica;sans-serif" w:hAnsi="Arial;Helvetica;sans-serif"/>
          <w:spacing w:val="-7"/>
          <w:sz w:val="19"/>
        </w:rPr>
        <w:t xml:space="preserve"> </w:t>
      </w:r>
      <w:r>
        <w:rPr>
          <w:rFonts w:ascii="Times New Roman;Times;serif" w:hAnsi="Times New Roman;Times;serif"/>
          <w:sz w:val="19"/>
        </w:rPr>
        <w:t>otherwise</w:t>
      </w:r>
      <w:r>
        <w:rPr>
          <w:rFonts w:ascii="Arial;Helvetica;sans-serif" w:hAnsi="Arial;Helvetica;sans-serif"/>
          <w:spacing w:val="-7"/>
          <w:sz w:val="19"/>
        </w:rPr>
        <w:t xml:space="preserve"> </w:t>
      </w:r>
      <w:r>
        <w:rPr>
          <w:rFonts w:ascii="Times New Roman;Times;serif" w:hAnsi="Times New Roman;Times;serif"/>
          <w:sz w:val="19"/>
        </w:rPr>
        <w:t>agreed</w:t>
      </w:r>
      <w:r>
        <w:rPr>
          <w:rFonts w:ascii="Arial;Helvetica;sans-serif" w:hAnsi="Arial;Helvetica;sans-serif"/>
          <w:spacing w:val="-8"/>
          <w:sz w:val="19"/>
        </w:rPr>
        <w:t xml:space="preserve"> </w:t>
      </w:r>
      <w:r>
        <w:rPr>
          <w:rFonts w:ascii="Times New Roman;Times;serif" w:hAnsi="Times New Roman;Times;serif"/>
          <w:sz w:val="19"/>
        </w:rPr>
        <w:t>in</w:t>
      </w:r>
      <w:r>
        <w:rPr>
          <w:rFonts w:ascii="Arial;Helvetica;sans-serif" w:hAnsi="Arial;Helvetica;sans-serif"/>
          <w:spacing w:val="-8"/>
          <w:sz w:val="19"/>
        </w:rPr>
        <w:t xml:space="preserve"> </w:t>
      </w:r>
      <w:r>
        <w:rPr>
          <w:rFonts w:ascii="Times New Roman;Times;serif" w:hAnsi="Times New Roman;Times;serif"/>
          <w:sz w:val="19"/>
        </w:rPr>
        <w:t>writing,</w:t>
      </w:r>
      <w:r>
        <w:rPr>
          <w:rFonts w:ascii="Arial;Helvetica;sans-serif" w:hAnsi="Arial;Helvetica;sans-serif"/>
          <w:spacing w:val="-6"/>
          <w:sz w:val="19"/>
        </w:rPr>
        <w:t xml:space="preserve"> </w:t>
      </w:r>
      <w:r>
        <w:rPr>
          <w:rFonts w:ascii="Times New Roman;Times;serif" w:hAnsi="Times New Roman;Times;serif"/>
          <w:sz w:val="19"/>
        </w:rPr>
        <w:t>the</w:t>
      </w:r>
      <w:r>
        <w:rPr>
          <w:rFonts w:ascii="Arial;Helvetica;sans-serif" w:hAnsi="Arial;Helvetica;sans-serif"/>
          <w:spacing w:val="-8"/>
          <w:sz w:val="19"/>
        </w:rPr>
        <w:t xml:space="preserve"> </w:t>
      </w:r>
      <w:r>
        <w:rPr>
          <w:rFonts w:ascii="Times New Roman;Times;serif" w:hAnsi="Times New Roman;Times;serif"/>
          <w:sz w:val="19"/>
        </w:rPr>
        <w:t>Contract</w:t>
      </w:r>
      <w:r>
        <w:rPr>
          <w:rFonts w:ascii="Arial;Helvetica;sans-serif" w:hAnsi="Arial;Helvetica;sans-serif"/>
          <w:spacing w:val="-6"/>
          <w:sz w:val="19"/>
        </w:rPr>
        <w:t xml:space="preserve"> </w:t>
      </w:r>
      <w:r>
        <w:rPr>
          <w:rFonts w:ascii="Times New Roman;Times;serif" w:hAnsi="Times New Roman;Times;serif"/>
          <w:sz w:val="19"/>
        </w:rPr>
        <w:t>Price</w:t>
      </w:r>
      <w:r>
        <w:rPr>
          <w:rFonts w:ascii="Arial;Helvetica;sans-serif" w:hAnsi="Arial;Helvetica;sans-serif"/>
          <w:spacing w:val="-8"/>
          <w:sz w:val="19"/>
        </w:rPr>
        <w:t xml:space="preserve"> </w:t>
      </w:r>
      <w:r>
        <w:rPr>
          <w:rFonts w:ascii="Times New Roman;Times;serif" w:hAnsi="Times New Roman;Times;serif"/>
          <w:sz w:val="19"/>
        </w:rPr>
        <w:t>excludes</w:t>
      </w:r>
      <w:r>
        <w:rPr>
          <w:rFonts w:ascii="Arial;Helvetica;sans-serif" w:hAnsi="Arial;Helvetica;sans-serif"/>
          <w:spacing w:val="-7"/>
          <w:sz w:val="19"/>
        </w:rPr>
        <w:t xml:space="preserve"> </w:t>
      </w:r>
      <w:r>
        <w:rPr>
          <w:rFonts w:ascii="Times New Roman;Times;serif" w:hAnsi="Times New Roman;Times;serif"/>
          <w:sz w:val="19"/>
        </w:rPr>
        <w:t>transportation,</w:t>
      </w:r>
      <w:r>
        <w:rPr>
          <w:rFonts w:ascii="Arial;Helvetica;sans-serif" w:hAnsi="Arial;Helvetica;sans-serif"/>
          <w:spacing w:val="-7"/>
          <w:sz w:val="19"/>
        </w:rPr>
        <w:t xml:space="preserve"> </w:t>
      </w:r>
      <w:r>
        <w:rPr>
          <w:rFonts w:ascii="Times New Roman;Times;serif" w:hAnsi="Times New Roman;Times;serif"/>
          <w:sz w:val="19"/>
        </w:rPr>
        <w:t>export,</w:t>
      </w:r>
      <w:r>
        <w:rPr>
          <w:rFonts w:ascii="Arial;Helvetica;sans-serif" w:hAnsi="Arial;Helvetica;sans-serif"/>
          <w:spacing w:val="-6"/>
          <w:sz w:val="19"/>
        </w:rPr>
        <w:t xml:space="preserve"> </w:t>
      </w:r>
      <w:r>
        <w:rPr>
          <w:rFonts w:ascii="Times New Roman;Times;serif" w:hAnsi="Times New Roman;Times;serif"/>
          <w:sz w:val="19"/>
        </w:rPr>
        <w:t>import,</w:t>
      </w:r>
      <w:r>
        <w:rPr>
          <w:rFonts w:ascii="Arial;Helvetica;sans-serif" w:hAnsi="Arial;Helvetica;sans-serif"/>
          <w:spacing w:val="-6"/>
          <w:sz w:val="19"/>
        </w:rPr>
        <w:t xml:space="preserve"> </w:t>
      </w:r>
      <w:r>
        <w:rPr>
          <w:rFonts w:ascii="Times New Roman;Times;serif" w:hAnsi="Times New Roman;Times;serif"/>
          <w:sz w:val="19"/>
        </w:rPr>
        <w:t>customs clearance, duties, insurance and other related costs borne by Buyer following EXW delivery.</w:t>
      </w:r>
    </w:p>
    <w:tbl>
      <w:tblPr>
        <w:tblW w:w="6583" w:type="dxa"/>
        <w:jc w:val="left"/>
        <w:tblInd w:w="0" w:type="dxa"/>
        <w:tblLayout w:type="fixed"/>
        <w:tblCellMar>
          <w:top w:w="0" w:type="dxa"/>
          <w:left w:w="0" w:type="dxa"/>
          <w:bottom w:w="0" w:type="dxa"/>
          <w:right w:w="0" w:type="dxa"/>
        </w:tblCellMar>
      </w:tblPr>
      <w:tblGrid>
        <w:gridCol w:w="185"/>
        <w:gridCol w:w="6398"/>
      </w:tblGrid>
      <w:tr>
        <w:trPr/>
        <w:tc>
          <w:tcPr>
            <w:tcW w:w="185" w:type="dxa"/>
            <w:tcBorders/>
            <w:vAlign w:val="center"/>
          </w:tcPr>
          <w:p>
            <w:pPr>
              <w:pStyle w:val="TableContents"/>
              <w:bidi w:val="0"/>
              <w:spacing w:before="0" w:after="283"/>
              <w:jc w:val="left"/>
              <w:rPr>
                <w:rFonts w:ascii="Times New Roman;Times;serif" w:hAnsi="Times New Roman;Times;serif"/>
                <w:b/>
                <w:sz w:val="21"/>
              </w:rPr>
            </w:pPr>
            <w:r>
              <w:rPr>
                <w:rFonts w:ascii="Times New Roman;Times;serif" w:hAnsi="Times New Roman;Times;serif"/>
                <w:b/>
                <w:sz w:val="21"/>
              </w:rPr>
              <w:t>3.</w:t>
            </w:r>
          </w:p>
        </w:tc>
        <w:tc>
          <w:tcPr>
            <w:tcW w:w="6398"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1"/>
              </w:rPr>
              <w:t>PAYMENT</w:t>
            </w:r>
            <w:r>
              <w:rPr>
                <w:caps w:val="false"/>
                <w:smallCaps w:val="false"/>
                <w:spacing w:val="-10"/>
              </w:rPr>
              <w:t xml:space="preserve"> </w:t>
            </w:r>
            <w:r>
              <w:rPr>
                <w:rFonts w:ascii="Times New Roman;Times;serif" w:hAnsi="Times New Roman;Times;serif"/>
                <w:b/>
                <w:i w:val="false"/>
                <w:caps w:val="false"/>
                <w:smallCaps w:val="false"/>
                <w:sz w:val="21"/>
              </w:rPr>
              <w:t>TERMS</w:t>
            </w:r>
            <w:r>
              <w:rPr>
                <w:caps w:val="false"/>
                <w:smallCaps w:val="false"/>
                <w:spacing w:val="-11"/>
              </w:rPr>
              <w:t xml:space="preserve"> </w:t>
            </w:r>
            <w:r>
              <w:rPr>
                <w:rFonts w:ascii="Times New Roman;Times;serif" w:hAnsi="Times New Roman;Times;serif"/>
                <w:b/>
                <w:i w:val="false"/>
                <w:caps w:val="false"/>
                <w:smallCaps w:val="false"/>
                <w:sz w:val="21"/>
              </w:rPr>
              <w:t>AND</w:t>
            </w:r>
            <w:r>
              <w:rPr>
                <w:caps w:val="false"/>
                <w:smallCaps w:val="false"/>
                <w:spacing w:val="-12"/>
              </w:rPr>
              <w:t xml:space="preserve"> </w:t>
            </w:r>
            <w:r>
              <w:rPr>
                <w:rFonts w:ascii="Times New Roman;Times;serif" w:hAnsi="Times New Roman;Times;serif"/>
                <w:b/>
                <w:i w:val="false"/>
                <w:caps w:val="false"/>
                <w:smallCaps w:val="false"/>
                <w:sz w:val="21"/>
              </w:rPr>
              <w:t>AUTHORIZED</w:t>
            </w:r>
            <w:r>
              <w:rPr>
                <w:caps w:val="false"/>
                <w:smallCaps w:val="false"/>
                <w:spacing w:val="-13"/>
              </w:rPr>
              <w:t xml:space="preserve"> </w:t>
            </w:r>
            <w:r>
              <w:rPr>
                <w:rFonts w:ascii="Times New Roman;Times;serif" w:hAnsi="Times New Roman;Times;serif"/>
                <w:b/>
                <w:i w:val="false"/>
                <w:caps w:val="false"/>
                <w:smallCaps w:val="false"/>
                <w:sz w:val="21"/>
              </w:rPr>
              <w:t>COLLECTION</w:t>
            </w:r>
            <w:r>
              <w:rPr>
                <w:caps w:val="false"/>
                <w:smallCaps w:val="false"/>
                <w:spacing w:val="-12"/>
              </w:rPr>
              <w:t xml:space="preserve"> </w:t>
            </w:r>
            <w:r>
              <w:rPr>
                <w:rFonts w:ascii="Times New Roman;Times;serif" w:hAnsi="Times New Roman;Times;serif"/>
                <w:b/>
                <w:i w:val="false"/>
                <w:caps w:val="false"/>
                <w:smallCaps w:val="false"/>
                <w:spacing w:val="-2"/>
                <w:sz w:val="21"/>
              </w:rPr>
              <w:t>ACCOUNT</w:t>
            </w:r>
          </w:p>
        </w:tc>
      </w:tr>
    </w:tbl>
    <w:p>
      <w:pPr>
        <w:pStyle w:val="TextBody"/>
        <w:bidi w:val="0"/>
        <w:spacing w:lineRule="auto" w:line="300" w:before="104" w:after="120"/>
        <w:ind w:left="0" w:right="0" w:hanging="0"/>
        <w:jc w:val="left"/>
        <w:rPr>
          <w:rFonts w:ascii="Arial;Helvetica;sans-serif" w:hAnsi="Arial;Helvetica;sans-serif"/>
          <w:sz w:val="19"/>
        </w:rPr>
      </w:pPr>
      <w:r>
        <w:rPr>
          <w:rFonts w:ascii="Times New Roman;Times;serif" w:hAnsi="Times New Roman;Times;serif"/>
          <w:sz w:val="19"/>
        </w:rPr>
        <w:t>Buyer</w:t>
      </w:r>
      <w:r>
        <w:rPr>
          <w:rFonts w:ascii="Arial;Helvetica;sans-serif" w:hAnsi="Arial;Helvetica;sans-serif"/>
          <w:spacing w:val="-3"/>
          <w:sz w:val="19"/>
        </w:rPr>
        <w:t xml:space="preserve"> </w:t>
      </w:r>
      <w:r>
        <w:rPr>
          <w:rFonts w:ascii="Times New Roman;Times;serif" w:hAnsi="Times New Roman;Times;serif"/>
          <w:sz w:val="19"/>
        </w:rPr>
        <w:t>shall</w:t>
      </w:r>
      <w:r>
        <w:rPr>
          <w:rFonts w:ascii="Arial;Helvetica;sans-serif" w:hAnsi="Arial;Helvetica;sans-serif"/>
          <w:spacing w:val="-7"/>
          <w:sz w:val="19"/>
        </w:rPr>
        <w:t xml:space="preserve"> </w:t>
      </w:r>
      <w:r>
        <w:rPr>
          <w:rFonts w:ascii="Times New Roman;Times;serif" w:hAnsi="Times New Roman;Times;serif"/>
          <w:sz w:val="19"/>
        </w:rPr>
        <w:t>pay</w:t>
      </w:r>
      <w:r>
        <w:rPr>
          <w:rFonts w:ascii="Arial;Helvetica;sans-serif" w:hAnsi="Arial;Helvetica;sans-serif"/>
          <w:spacing w:val="-6"/>
          <w:sz w:val="19"/>
        </w:rPr>
        <w:t xml:space="preserve"> </w:t>
      </w:r>
      <w:r>
        <w:rPr>
          <w:rFonts w:ascii="Times New Roman;Times;serif" w:hAnsi="Times New Roman;Times;serif"/>
          <w:sz w:val="19"/>
        </w:rPr>
        <w:t>100%</w:t>
      </w:r>
      <w:r>
        <w:rPr>
          <w:rFonts w:ascii="Arial;Helvetica;sans-serif" w:hAnsi="Arial;Helvetica;sans-serif"/>
          <w:spacing w:val="-5"/>
          <w:sz w:val="19"/>
        </w:rPr>
        <w:t xml:space="preserve"> </w:t>
      </w:r>
      <w:r>
        <w:rPr>
          <w:rFonts w:ascii="Times New Roman;Times;serif" w:hAnsi="Times New Roman;Times;serif"/>
          <w:sz w:val="19"/>
        </w:rPr>
        <w:t>of</w:t>
      </w:r>
      <w:r>
        <w:rPr>
          <w:rFonts w:ascii="Arial;Helvetica;sans-serif" w:hAnsi="Arial;Helvetica;sans-serif"/>
          <w:spacing w:val="-3"/>
          <w:sz w:val="19"/>
        </w:rPr>
        <w:t xml:space="preserve"> </w:t>
      </w:r>
      <w:r>
        <w:rPr>
          <w:rFonts w:ascii="Times New Roman;Times;serif" w:hAnsi="Times New Roman;Times;serif"/>
          <w:sz w:val="19"/>
        </w:rPr>
        <w:t>the</w:t>
      </w:r>
      <w:r>
        <w:rPr>
          <w:rFonts w:ascii="Arial;Helvetica;sans-serif" w:hAnsi="Arial;Helvetica;sans-serif"/>
          <w:spacing w:val="-6"/>
          <w:sz w:val="19"/>
        </w:rPr>
        <w:t xml:space="preserve"> </w:t>
      </w:r>
      <w:r>
        <w:rPr>
          <w:rFonts w:ascii="Times New Roman;Times;serif" w:hAnsi="Times New Roman;Times;serif"/>
          <w:sz w:val="19"/>
        </w:rPr>
        <w:t>Contract</w:t>
      </w:r>
      <w:r>
        <w:rPr>
          <w:rFonts w:ascii="Arial;Helvetica;sans-serif" w:hAnsi="Arial;Helvetica;sans-serif"/>
          <w:spacing w:val="-3"/>
          <w:sz w:val="19"/>
        </w:rPr>
        <w:t xml:space="preserve"> </w:t>
      </w:r>
      <w:r>
        <w:rPr>
          <w:rFonts w:ascii="Times New Roman;Times;serif" w:hAnsi="Times New Roman;Times;serif"/>
          <w:sz w:val="19"/>
        </w:rPr>
        <w:t>Price</w:t>
      </w:r>
      <w:r>
        <w:rPr>
          <w:rFonts w:ascii="Arial;Helvetica;sans-serif" w:hAnsi="Arial;Helvetica;sans-serif"/>
          <w:spacing w:val="-6"/>
          <w:sz w:val="19"/>
        </w:rPr>
        <w:t xml:space="preserve"> </w:t>
      </w:r>
      <w:r>
        <w:rPr>
          <w:rFonts w:ascii="Times New Roman;Times;serif" w:hAnsi="Times New Roman;Times;serif"/>
          <w:sz w:val="19"/>
        </w:rPr>
        <w:t>by</w:t>
      </w:r>
      <w:r>
        <w:rPr>
          <w:rFonts w:ascii="Arial;Helvetica;sans-serif" w:hAnsi="Arial;Helvetica;sans-serif"/>
          <w:spacing w:val="-6"/>
          <w:sz w:val="19"/>
        </w:rPr>
        <w:t xml:space="preserve"> </w:t>
      </w:r>
      <w:r>
        <w:rPr>
          <w:rFonts w:ascii="Times New Roman;Times;serif" w:hAnsi="Times New Roman;Times;serif"/>
          <w:sz w:val="19"/>
        </w:rPr>
        <w:t>T/T</w:t>
      </w:r>
      <w:r>
        <w:rPr>
          <w:rFonts w:ascii="Arial;Helvetica;sans-serif" w:hAnsi="Arial;Helvetica;sans-serif"/>
          <w:spacing w:val="-11"/>
          <w:sz w:val="19"/>
        </w:rPr>
        <w:t xml:space="preserve"> </w:t>
      </w:r>
      <w:r>
        <w:rPr>
          <w:rFonts w:ascii="Times New Roman;Times;serif" w:hAnsi="Times New Roman;Times;serif"/>
          <w:sz w:val="19"/>
        </w:rPr>
        <w:t>prior</w:t>
      </w:r>
      <w:r>
        <w:rPr>
          <w:rFonts w:ascii="Arial;Helvetica;sans-serif" w:hAnsi="Arial;Helvetica;sans-serif"/>
          <w:spacing w:val="-8"/>
          <w:sz w:val="19"/>
        </w:rPr>
        <w:t xml:space="preserve"> </w:t>
      </w:r>
      <w:r>
        <w:rPr>
          <w:rFonts w:ascii="Times New Roman;Times;serif" w:hAnsi="Times New Roman;Times;serif"/>
          <w:sz w:val="19"/>
        </w:rPr>
        <w:t>to</w:t>
      </w:r>
      <w:r>
        <w:rPr>
          <w:rFonts w:ascii="Arial;Helvetica;sans-serif" w:hAnsi="Arial;Helvetica;sans-serif"/>
          <w:spacing w:val="-6"/>
          <w:sz w:val="19"/>
        </w:rPr>
        <w:t xml:space="preserve"> </w:t>
      </w:r>
      <w:r>
        <w:rPr>
          <w:rFonts w:ascii="Times New Roman;Times;serif" w:hAnsi="Times New Roman;Times;serif"/>
          <w:sz w:val="19"/>
        </w:rPr>
        <w:t>delivery.</w:t>
      </w:r>
      <w:r>
        <w:rPr>
          <w:rFonts w:ascii="Arial;Helvetica;sans-serif" w:hAnsi="Arial;Helvetica;sans-serif"/>
          <w:spacing w:val="-3"/>
          <w:sz w:val="19"/>
        </w:rPr>
        <w:t xml:space="preserve"> </w:t>
      </w:r>
      <w:r>
        <w:rPr>
          <w:rFonts w:ascii="Times New Roman;Times;serif" w:hAnsi="Times New Roman;Times;serif"/>
          <w:sz w:val="19"/>
        </w:rPr>
        <w:t>Payment</w:t>
      </w:r>
      <w:r>
        <w:rPr>
          <w:rFonts w:ascii="Arial;Helvetica;sans-serif" w:hAnsi="Arial;Helvetica;sans-serif"/>
          <w:spacing w:val="-3"/>
          <w:sz w:val="19"/>
        </w:rPr>
        <w:t xml:space="preserve"> </w:t>
      </w:r>
      <w:r>
        <w:rPr>
          <w:rFonts w:ascii="Times New Roman;Times;serif" w:hAnsi="Times New Roman;Times;serif"/>
          <w:sz w:val="19"/>
        </w:rPr>
        <w:t>shall</w:t>
      </w:r>
      <w:r>
        <w:rPr>
          <w:rFonts w:ascii="Arial;Helvetica;sans-serif" w:hAnsi="Arial;Helvetica;sans-serif"/>
          <w:spacing w:val="-7"/>
          <w:sz w:val="19"/>
        </w:rPr>
        <w:t xml:space="preserve"> </w:t>
      </w:r>
      <w:r>
        <w:rPr>
          <w:rFonts w:ascii="Times New Roman;Times;serif" w:hAnsi="Times New Roman;Times;serif"/>
          <w:sz w:val="19"/>
        </w:rPr>
        <w:t>be</w:t>
      </w:r>
      <w:r>
        <w:rPr>
          <w:rFonts w:ascii="Arial;Helvetica;sans-serif" w:hAnsi="Arial;Helvetica;sans-serif"/>
          <w:spacing w:val="-6"/>
          <w:sz w:val="19"/>
        </w:rPr>
        <w:t xml:space="preserve"> </w:t>
      </w:r>
      <w:r>
        <w:rPr>
          <w:rFonts w:ascii="Times New Roman;Times;serif" w:hAnsi="Times New Roman;Times;serif"/>
          <w:sz w:val="19"/>
        </w:rPr>
        <w:t>deemed</w:t>
      </w:r>
      <w:r>
        <w:rPr>
          <w:rFonts w:ascii="Arial;Helvetica;sans-serif" w:hAnsi="Arial;Helvetica;sans-serif"/>
          <w:spacing w:val="-6"/>
          <w:sz w:val="19"/>
        </w:rPr>
        <w:t xml:space="preserve"> </w:t>
      </w:r>
      <w:r>
        <w:rPr>
          <w:rFonts w:ascii="Times New Roman;Times;serif" w:hAnsi="Times New Roman;Times;serif"/>
          <w:sz w:val="19"/>
        </w:rPr>
        <w:t>received</w:t>
      </w:r>
      <w:r>
        <w:rPr>
          <w:rFonts w:ascii="Arial;Helvetica;sans-serif" w:hAnsi="Arial;Helvetica;sans-serif"/>
          <w:spacing w:val="-5"/>
          <w:sz w:val="19"/>
        </w:rPr>
        <w:t xml:space="preserve"> </w:t>
      </w:r>
      <w:r>
        <w:rPr>
          <w:rFonts w:ascii="Times New Roman;Times;serif" w:hAnsi="Times New Roman;Times;serif"/>
          <w:sz w:val="19"/>
        </w:rPr>
        <w:t>only</w:t>
      </w:r>
      <w:r>
        <w:rPr>
          <w:rFonts w:ascii="Arial;Helvetica;sans-serif" w:hAnsi="Arial;Helvetica;sans-serif"/>
          <w:spacing w:val="-5"/>
          <w:sz w:val="19"/>
        </w:rPr>
        <w:t xml:space="preserve"> </w:t>
      </w:r>
      <w:r>
        <w:rPr>
          <w:rFonts w:ascii="Times New Roman;Times;serif" w:hAnsi="Times New Roman;Times;serif"/>
          <w:sz w:val="19"/>
        </w:rPr>
        <w:t>when</w:t>
      </w:r>
      <w:r>
        <w:rPr>
          <w:rFonts w:ascii="Arial;Helvetica;sans-serif" w:hAnsi="Arial;Helvetica;sans-serif"/>
          <w:spacing w:val="-6"/>
          <w:sz w:val="19"/>
        </w:rPr>
        <w:t xml:space="preserve"> </w:t>
      </w:r>
      <w:r>
        <w:rPr>
          <w:rFonts w:ascii="Times New Roman;Times;serif" w:hAnsi="Times New Roman;Times;serif"/>
          <w:sz w:val="19"/>
        </w:rPr>
        <w:t>the full Contract Price has been irrevocably credited in immediately available funds to Seller’s designated collection account.</w:t>
      </w:r>
      <w:r>
        <w:rPr>
          <w:rFonts w:ascii="Arial;Helvetica;sans-serif" w:hAnsi="Arial;Helvetica;sans-serif"/>
          <w:spacing w:val="-2"/>
          <w:sz w:val="19"/>
        </w:rPr>
        <w:t xml:space="preserve"> </w:t>
      </w:r>
      <w:r>
        <w:rPr>
          <w:rFonts w:ascii="Times New Roman;Times;serif" w:hAnsi="Times New Roman;Times;serif"/>
          <w:sz w:val="19"/>
        </w:rPr>
        <w:t>All</w:t>
      </w:r>
      <w:r>
        <w:rPr>
          <w:rFonts w:ascii="Arial;Helvetica;sans-serif" w:hAnsi="Arial;Helvetica;sans-serif"/>
          <w:spacing w:val="-4"/>
          <w:sz w:val="19"/>
        </w:rPr>
        <w:t xml:space="preserve"> </w:t>
      </w:r>
      <w:r>
        <w:rPr>
          <w:rFonts w:ascii="Times New Roman;Times;serif" w:hAnsi="Times New Roman;Times;serif"/>
          <w:sz w:val="19"/>
        </w:rPr>
        <w:t>remittance,</w:t>
      </w:r>
      <w:r>
        <w:rPr>
          <w:rFonts w:ascii="Arial;Helvetica;sans-serif" w:hAnsi="Arial;Helvetica;sans-serif"/>
          <w:spacing w:val="-2"/>
          <w:sz w:val="19"/>
        </w:rPr>
        <w:t xml:space="preserve"> </w:t>
      </w:r>
      <w:r>
        <w:rPr>
          <w:rFonts w:ascii="Times New Roman;Times;serif" w:hAnsi="Times New Roman;Times;serif"/>
          <w:sz w:val="19"/>
        </w:rPr>
        <w:t>intermediary</w:t>
      </w:r>
      <w:r>
        <w:rPr>
          <w:rFonts w:ascii="Arial;Helvetica;sans-serif" w:hAnsi="Arial;Helvetica;sans-serif"/>
          <w:spacing w:val="-3"/>
          <w:sz w:val="19"/>
        </w:rPr>
        <w:t xml:space="preserve"> </w:t>
      </w:r>
      <w:r>
        <w:rPr>
          <w:rFonts w:ascii="Times New Roman;Times;serif" w:hAnsi="Times New Roman;Times;serif"/>
          <w:sz w:val="19"/>
        </w:rPr>
        <w:t>bank</w:t>
      </w:r>
      <w:r>
        <w:rPr>
          <w:rFonts w:ascii="Arial;Helvetica;sans-serif" w:hAnsi="Arial;Helvetica;sans-serif"/>
          <w:spacing w:val="-3"/>
          <w:sz w:val="19"/>
        </w:rPr>
        <w:t xml:space="preserve"> </w:t>
      </w:r>
      <w:r>
        <w:rPr>
          <w:rFonts w:ascii="Times New Roman;Times;serif" w:hAnsi="Times New Roman;Times;serif"/>
          <w:sz w:val="19"/>
        </w:rPr>
        <w:t>and</w:t>
      </w:r>
      <w:r>
        <w:rPr>
          <w:rFonts w:ascii="Arial;Helvetica;sans-serif" w:hAnsi="Arial;Helvetica;sans-serif"/>
          <w:spacing w:val="-3"/>
          <w:sz w:val="19"/>
        </w:rPr>
        <w:t xml:space="preserve"> </w:t>
      </w:r>
      <w:r>
        <w:rPr>
          <w:rFonts w:ascii="Times New Roman;Times;serif" w:hAnsi="Times New Roman;Times;serif"/>
          <w:sz w:val="19"/>
        </w:rPr>
        <w:t>other</w:t>
      </w:r>
      <w:r>
        <w:rPr>
          <w:rFonts w:ascii="Arial;Helvetica;sans-serif" w:hAnsi="Arial;Helvetica;sans-serif"/>
          <w:spacing w:val="-4"/>
          <w:sz w:val="19"/>
        </w:rPr>
        <w:t xml:space="preserve"> </w:t>
      </w:r>
      <w:r>
        <w:rPr>
          <w:rFonts w:ascii="Times New Roman;Times;serif" w:hAnsi="Times New Roman;Times;serif"/>
          <w:sz w:val="19"/>
        </w:rPr>
        <w:t>banking</w:t>
      </w:r>
      <w:r>
        <w:rPr>
          <w:rFonts w:ascii="Arial;Helvetica;sans-serif" w:hAnsi="Arial;Helvetica;sans-serif"/>
          <w:spacing w:val="-3"/>
          <w:sz w:val="19"/>
        </w:rPr>
        <w:t xml:space="preserve"> </w:t>
      </w:r>
      <w:r>
        <w:rPr>
          <w:rFonts w:ascii="Times New Roman;Times;serif" w:hAnsi="Times New Roman;Times;serif"/>
          <w:sz w:val="19"/>
        </w:rPr>
        <w:t>charges</w:t>
      </w:r>
      <w:r>
        <w:rPr>
          <w:rFonts w:ascii="Arial;Helvetica;sans-serif" w:hAnsi="Arial;Helvetica;sans-serif"/>
          <w:spacing w:val="-3"/>
          <w:sz w:val="19"/>
        </w:rPr>
        <w:t xml:space="preserve"> </w:t>
      </w:r>
      <w:r>
        <w:rPr>
          <w:rFonts w:ascii="Times New Roman;Times;serif" w:hAnsi="Times New Roman;Times;serif"/>
          <w:sz w:val="19"/>
        </w:rPr>
        <w:t>shall</w:t>
      </w:r>
      <w:r>
        <w:rPr>
          <w:rFonts w:ascii="Arial;Helvetica;sans-serif" w:hAnsi="Arial;Helvetica;sans-serif"/>
          <w:spacing w:val="-3"/>
          <w:sz w:val="19"/>
        </w:rPr>
        <w:t xml:space="preserve"> </w:t>
      </w:r>
      <w:r>
        <w:rPr>
          <w:rFonts w:ascii="Times New Roman;Times;serif" w:hAnsi="Times New Roman;Times;serif"/>
          <w:sz w:val="19"/>
        </w:rPr>
        <w:t>be</w:t>
      </w:r>
      <w:r>
        <w:rPr>
          <w:rFonts w:ascii="Arial;Helvetica;sans-serif" w:hAnsi="Arial;Helvetica;sans-serif"/>
          <w:spacing w:val="-3"/>
          <w:sz w:val="19"/>
        </w:rPr>
        <w:t xml:space="preserve"> </w:t>
      </w:r>
      <w:r>
        <w:rPr>
          <w:rFonts w:ascii="Times New Roman;Times;serif" w:hAnsi="Times New Roman;Times;serif"/>
          <w:sz w:val="19"/>
        </w:rPr>
        <w:t>borne</w:t>
      </w:r>
      <w:r>
        <w:rPr>
          <w:rFonts w:ascii="Arial;Helvetica;sans-serif" w:hAnsi="Arial;Helvetica;sans-serif"/>
          <w:spacing w:val="-3"/>
          <w:sz w:val="19"/>
        </w:rPr>
        <w:t xml:space="preserve"> </w:t>
      </w:r>
      <w:r>
        <w:rPr>
          <w:rFonts w:ascii="Times New Roman;Times;serif" w:hAnsi="Times New Roman;Times;serif"/>
          <w:sz w:val="19"/>
        </w:rPr>
        <w:t>by</w:t>
      </w:r>
      <w:r>
        <w:rPr>
          <w:rFonts w:ascii="Arial;Helvetica;sans-serif" w:hAnsi="Arial;Helvetica;sans-serif"/>
          <w:spacing w:val="-3"/>
          <w:sz w:val="19"/>
        </w:rPr>
        <w:t xml:space="preserve"> </w:t>
      </w:r>
      <w:r>
        <w:rPr>
          <w:rFonts w:ascii="Times New Roman;Times;serif" w:hAnsi="Times New Roman;Times;serif"/>
          <w:sz w:val="19"/>
        </w:rPr>
        <w:t>Buyer</w:t>
      </w:r>
      <w:r>
        <w:rPr>
          <w:rFonts w:ascii="Arial;Helvetica;sans-serif" w:hAnsi="Arial;Helvetica;sans-serif"/>
          <w:spacing w:val="-2"/>
          <w:sz w:val="19"/>
        </w:rPr>
        <w:t xml:space="preserve"> </w:t>
      </w:r>
      <w:r>
        <w:rPr>
          <w:rFonts w:ascii="Times New Roman;Times;serif" w:hAnsi="Times New Roman;Times;serif"/>
          <w:sz w:val="19"/>
        </w:rPr>
        <w:t>so</w:t>
      </w:r>
      <w:r>
        <w:rPr>
          <w:rFonts w:ascii="Arial;Helvetica;sans-serif" w:hAnsi="Arial;Helvetica;sans-serif"/>
          <w:spacing w:val="-7"/>
          <w:sz w:val="19"/>
        </w:rPr>
        <w:t xml:space="preserve"> </w:t>
      </w:r>
      <w:r>
        <w:rPr>
          <w:rFonts w:ascii="Times New Roman;Times;serif" w:hAnsi="Times New Roman;Times;serif"/>
          <w:sz w:val="19"/>
        </w:rPr>
        <w:t>that</w:t>
      </w:r>
      <w:r>
        <w:rPr>
          <w:rFonts w:ascii="Arial;Helvetica;sans-serif" w:hAnsi="Arial;Helvetica;sans-serif"/>
          <w:spacing w:val="-4"/>
          <w:sz w:val="19"/>
        </w:rPr>
        <w:t xml:space="preserve"> </w:t>
      </w:r>
      <w:r>
        <w:rPr>
          <w:rFonts w:ascii="Times New Roman;Times;serif" w:hAnsi="Times New Roman;Times;serif"/>
          <w:sz w:val="19"/>
        </w:rPr>
        <w:t>the</w:t>
      </w:r>
      <w:r>
        <w:rPr>
          <w:rFonts w:ascii="Arial;Helvetica;sans-serif" w:hAnsi="Arial;Helvetica;sans-serif"/>
          <w:spacing w:val="-3"/>
          <w:sz w:val="19"/>
        </w:rPr>
        <w:t xml:space="preserve"> </w:t>
      </w:r>
      <w:r>
        <w:rPr>
          <w:rFonts w:ascii="Times New Roman;Times;serif" w:hAnsi="Times New Roman;Times;serif"/>
          <w:sz w:val="19"/>
        </w:rPr>
        <w:t>designated collection account receives the full Contract Price of USD 208,909.00 net of all such charges.</w:t>
      </w:r>
    </w:p>
    <w:p>
      <w:pPr>
        <w:pStyle w:val="TextBody"/>
        <w:bidi w:val="0"/>
        <w:spacing w:lineRule="auto" w:line="285" w:before="0" w:after="120"/>
        <w:ind w:left="0" w:right="0" w:hanging="0"/>
        <w:jc w:val="left"/>
        <w:rPr>
          <w:rFonts w:ascii="Arial;Helvetica;sans-serif" w:hAnsi="Arial;Helvetica;sans-serif"/>
          <w:sz w:val="19"/>
        </w:rPr>
      </w:pPr>
      <w:r>
        <w:rPr>
          <w:rFonts w:ascii="Times New Roman;Times;serif" w:hAnsi="Times New Roman;Times;serif"/>
          <w:sz w:val="19"/>
        </w:rPr>
        <w:t>Seller</w:t>
      </w:r>
      <w:r>
        <w:rPr>
          <w:rFonts w:ascii="Arial;Helvetica;sans-serif" w:hAnsi="Arial;Helvetica;sans-serif"/>
          <w:spacing w:val="-4"/>
          <w:sz w:val="19"/>
        </w:rPr>
        <w:t xml:space="preserve"> </w:t>
      </w:r>
      <w:r>
        <w:rPr>
          <w:rFonts w:ascii="Times New Roman;Times;serif" w:hAnsi="Times New Roman;Times;serif"/>
          <w:sz w:val="19"/>
        </w:rPr>
        <w:t>hereby</w:t>
      </w:r>
      <w:r>
        <w:rPr>
          <w:rFonts w:ascii="Arial;Helvetica;sans-serif" w:hAnsi="Arial;Helvetica;sans-serif"/>
          <w:spacing w:val="-6"/>
          <w:sz w:val="19"/>
        </w:rPr>
        <w:t xml:space="preserve"> </w:t>
      </w:r>
      <w:r>
        <w:rPr>
          <w:rFonts w:ascii="Times New Roman;Times;serif" w:hAnsi="Times New Roman;Times;serif"/>
          <w:sz w:val="19"/>
        </w:rPr>
        <w:t>authorizes</w:t>
      </w:r>
      <w:r>
        <w:rPr>
          <w:rFonts w:ascii="Arial;Helvetica;sans-serif" w:hAnsi="Arial;Helvetica;sans-serif"/>
          <w:spacing w:val="-6"/>
          <w:sz w:val="19"/>
        </w:rPr>
        <w:t xml:space="preserve"> </w:t>
      </w:r>
      <w:r>
        <w:rPr>
          <w:rFonts w:ascii="Times New Roman;Times;serif" w:hAnsi="Times New Roman;Times;serif"/>
          <w:sz w:val="19"/>
        </w:rPr>
        <w:t>its</w:t>
      </w:r>
      <w:r>
        <w:rPr>
          <w:rFonts w:ascii="Arial;Helvetica;sans-serif" w:hAnsi="Arial;Helvetica;sans-serif"/>
          <w:spacing w:val="-6"/>
          <w:sz w:val="19"/>
        </w:rPr>
        <w:t xml:space="preserve"> </w:t>
      </w:r>
      <w:r>
        <w:rPr>
          <w:rFonts w:ascii="Times New Roman;Times;serif" w:hAnsi="Times New Roman;Times;serif"/>
          <w:sz w:val="19"/>
        </w:rPr>
        <w:t>subsidiary,</w:t>
      </w:r>
      <w:r>
        <w:rPr>
          <w:rFonts w:ascii="Arial;Helvetica;sans-serif" w:hAnsi="Arial;Helvetica;sans-serif"/>
          <w:spacing w:val="-4"/>
          <w:sz w:val="19"/>
        </w:rPr>
        <w:t xml:space="preserve"> </w:t>
      </w:r>
      <w:r>
        <w:rPr>
          <w:rFonts w:ascii="Times New Roman;Times;serif" w:hAnsi="Times New Roman;Times;serif"/>
          <w:sz w:val="19"/>
        </w:rPr>
        <w:t>Super</w:t>
      </w:r>
      <w:r>
        <w:rPr>
          <w:rFonts w:ascii="Arial;Helvetica;sans-serif" w:hAnsi="Arial;Helvetica;sans-serif"/>
          <w:spacing w:val="-4"/>
          <w:sz w:val="19"/>
        </w:rPr>
        <w:t xml:space="preserve"> </w:t>
      </w:r>
      <w:r>
        <w:rPr>
          <w:rFonts w:ascii="Times New Roman;Times;serif" w:hAnsi="Times New Roman;Times;serif"/>
          <w:sz w:val="19"/>
        </w:rPr>
        <w:t>International</w:t>
      </w:r>
      <w:r>
        <w:rPr>
          <w:rFonts w:ascii="Arial;Helvetica;sans-serif" w:hAnsi="Arial;Helvetica;sans-serif"/>
          <w:spacing w:val="-7"/>
          <w:sz w:val="19"/>
        </w:rPr>
        <w:t xml:space="preserve"> </w:t>
      </w:r>
      <w:r>
        <w:rPr>
          <w:rFonts w:ascii="Times New Roman;Times;serif" w:hAnsi="Times New Roman;Times;serif"/>
          <w:sz w:val="19"/>
        </w:rPr>
        <w:t>Trading</w:t>
      </w:r>
      <w:r>
        <w:rPr>
          <w:rFonts w:ascii="Arial;Helvetica;sans-serif" w:hAnsi="Arial;Helvetica;sans-serif"/>
          <w:spacing w:val="-6"/>
          <w:sz w:val="19"/>
        </w:rPr>
        <w:t xml:space="preserve"> </w:t>
      </w:r>
      <w:r>
        <w:rPr>
          <w:rFonts w:ascii="Times New Roman;Times;serif" w:hAnsi="Times New Roman;Times;serif"/>
          <w:sz w:val="19"/>
        </w:rPr>
        <w:t>Limited,</w:t>
      </w:r>
      <w:r>
        <w:rPr>
          <w:rFonts w:ascii="Arial;Helvetica;sans-serif" w:hAnsi="Arial;Helvetica;sans-serif"/>
          <w:spacing w:val="-4"/>
          <w:sz w:val="19"/>
        </w:rPr>
        <w:t xml:space="preserve"> </w:t>
      </w:r>
      <w:r>
        <w:rPr>
          <w:rFonts w:ascii="Times New Roman;Times;serif" w:hAnsi="Times New Roman;Times;serif"/>
          <w:sz w:val="19"/>
        </w:rPr>
        <w:t>to</w:t>
      </w:r>
      <w:r>
        <w:rPr>
          <w:rFonts w:ascii="Arial;Helvetica;sans-serif" w:hAnsi="Arial;Helvetica;sans-serif"/>
          <w:spacing w:val="-6"/>
          <w:sz w:val="19"/>
        </w:rPr>
        <w:t xml:space="preserve"> </w:t>
      </w:r>
      <w:r>
        <w:rPr>
          <w:rFonts w:ascii="Times New Roman;Times;serif" w:hAnsi="Times New Roman;Times;serif"/>
          <w:sz w:val="19"/>
        </w:rPr>
        <w:t>receive</w:t>
      </w:r>
      <w:r>
        <w:rPr>
          <w:rFonts w:ascii="Arial;Helvetica;sans-serif" w:hAnsi="Arial;Helvetica;sans-serif"/>
          <w:spacing w:val="-6"/>
          <w:sz w:val="19"/>
        </w:rPr>
        <w:t xml:space="preserve"> </w:t>
      </w:r>
      <w:r>
        <w:rPr>
          <w:rFonts w:ascii="Times New Roman;Times;serif" w:hAnsi="Times New Roman;Times;serif"/>
          <w:sz w:val="19"/>
        </w:rPr>
        <w:t>all</w:t>
      </w:r>
      <w:r>
        <w:rPr>
          <w:rFonts w:ascii="Arial;Helvetica;sans-serif" w:hAnsi="Arial;Helvetica;sans-serif"/>
          <w:spacing w:val="-7"/>
          <w:sz w:val="19"/>
        </w:rPr>
        <w:t xml:space="preserve"> </w:t>
      </w:r>
      <w:r>
        <w:rPr>
          <w:rFonts w:ascii="Times New Roman;Times;serif" w:hAnsi="Times New Roman;Times;serif"/>
          <w:sz w:val="19"/>
        </w:rPr>
        <w:t>payments</w:t>
      </w:r>
      <w:r>
        <w:rPr>
          <w:rFonts w:ascii="Arial;Helvetica;sans-serif" w:hAnsi="Arial;Helvetica;sans-serif"/>
          <w:spacing w:val="-6"/>
          <w:sz w:val="19"/>
        </w:rPr>
        <w:t xml:space="preserve"> </w:t>
      </w:r>
      <w:r>
        <w:rPr>
          <w:rFonts w:ascii="Times New Roman;Times;serif" w:hAnsi="Times New Roman;Times;serif"/>
          <w:sz w:val="19"/>
        </w:rPr>
        <w:t>under</w:t>
      </w:r>
      <w:r>
        <w:rPr>
          <w:rFonts w:ascii="Arial;Helvetica;sans-serif" w:hAnsi="Arial;Helvetica;sans-serif"/>
          <w:spacing w:val="-8"/>
          <w:sz w:val="19"/>
        </w:rPr>
        <w:t xml:space="preserve"> </w:t>
      </w:r>
      <w:r>
        <w:rPr>
          <w:rFonts w:ascii="Times New Roman;Times;serif" w:hAnsi="Times New Roman;Times;serif"/>
          <w:sz w:val="19"/>
        </w:rPr>
        <w:t>this</w:t>
      </w:r>
      <w:r>
        <w:rPr>
          <w:rFonts w:ascii="Arial;Helvetica;sans-serif" w:hAnsi="Arial;Helvetica;sans-serif"/>
          <w:spacing w:val="-6"/>
          <w:sz w:val="19"/>
        </w:rPr>
        <w:t xml:space="preserve"> </w:t>
      </w:r>
      <w:r>
        <w:rPr>
          <w:rFonts w:ascii="Times New Roman;Times;serif" w:hAnsi="Times New Roman;Times;serif"/>
          <w:sz w:val="19"/>
        </w:rPr>
        <w:t>Contract on Seller’s behalf. Upon actual receipt of funds in the account designated below, Buyer shall be deemed to have fully discharged</w:t>
      </w:r>
      <w:r>
        <w:rPr>
          <w:rFonts w:ascii="Arial;Helvetica;sans-serif" w:hAnsi="Arial;Helvetica;sans-serif"/>
          <w:spacing w:val="-3"/>
          <w:sz w:val="19"/>
        </w:rPr>
        <w:t xml:space="preserve"> </w:t>
      </w:r>
      <w:r>
        <w:rPr>
          <w:rFonts w:ascii="Times New Roman;Times;serif" w:hAnsi="Times New Roman;Times;serif"/>
          <w:sz w:val="19"/>
        </w:rPr>
        <w:t>its</w:t>
      </w:r>
      <w:r>
        <w:rPr>
          <w:rFonts w:ascii="Arial;Helvetica;sans-serif" w:hAnsi="Arial;Helvetica;sans-serif"/>
          <w:spacing w:val="-3"/>
          <w:sz w:val="19"/>
        </w:rPr>
        <w:t xml:space="preserve"> </w:t>
      </w:r>
      <w:r>
        <w:rPr>
          <w:rFonts w:ascii="Times New Roman;Times;serif" w:hAnsi="Times New Roman;Times;serif"/>
          <w:sz w:val="19"/>
        </w:rPr>
        <w:t>corresponding</w:t>
      </w:r>
      <w:r>
        <w:rPr>
          <w:rFonts w:ascii="Arial;Helvetica;sans-serif" w:hAnsi="Arial;Helvetica;sans-serif"/>
          <w:spacing w:val="-3"/>
          <w:sz w:val="19"/>
        </w:rPr>
        <w:t xml:space="preserve"> </w:t>
      </w:r>
      <w:r>
        <w:rPr>
          <w:rFonts w:ascii="Times New Roman;Times;serif" w:hAnsi="Times New Roman;Times;serif"/>
          <w:sz w:val="19"/>
        </w:rPr>
        <w:t>payment</w:t>
      </w:r>
      <w:r>
        <w:rPr>
          <w:rFonts w:ascii="Arial;Helvetica;sans-serif" w:hAnsi="Arial;Helvetica;sans-serif"/>
          <w:spacing w:val="-2"/>
          <w:sz w:val="19"/>
        </w:rPr>
        <w:t xml:space="preserve"> </w:t>
      </w:r>
      <w:r>
        <w:rPr>
          <w:rFonts w:ascii="Times New Roman;Times;serif" w:hAnsi="Times New Roman;Times;serif"/>
          <w:sz w:val="19"/>
        </w:rPr>
        <w:t>obligation</w:t>
      </w:r>
      <w:r>
        <w:rPr>
          <w:rFonts w:ascii="Arial;Helvetica;sans-serif" w:hAnsi="Arial;Helvetica;sans-serif"/>
          <w:spacing w:val="-3"/>
          <w:sz w:val="19"/>
        </w:rPr>
        <w:t xml:space="preserve"> </w:t>
      </w:r>
      <w:r>
        <w:rPr>
          <w:rFonts w:ascii="Times New Roman;Times;serif" w:hAnsi="Times New Roman;Times;serif"/>
          <w:sz w:val="19"/>
        </w:rPr>
        <w:t>to</w:t>
      </w:r>
      <w:r>
        <w:rPr>
          <w:rFonts w:ascii="Arial;Helvetica;sans-serif" w:hAnsi="Arial;Helvetica;sans-serif"/>
          <w:spacing w:val="-3"/>
          <w:sz w:val="19"/>
        </w:rPr>
        <w:t xml:space="preserve"> </w:t>
      </w:r>
      <w:r>
        <w:rPr>
          <w:rFonts w:ascii="Times New Roman;Times;serif" w:hAnsi="Times New Roman;Times;serif"/>
          <w:sz w:val="19"/>
        </w:rPr>
        <w:t>Seller.</w:t>
      </w:r>
      <w:r>
        <w:rPr>
          <w:rFonts w:ascii="Arial;Helvetica;sans-serif" w:hAnsi="Arial;Helvetica;sans-serif"/>
          <w:spacing w:val="-2"/>
          <w:sz w:val="19"/>
        </w:rPr>
        <w:t xml:space="preserve"> </w:t>
      </w:r>
      <w:r>
        <w:rPr>
          <w:rFonts w:ascii="Times New Roman;Times;serif" w:hAnsi="Times New Roman;Times;serif"/>
          <w:sz w:val="19"/>
        </w:rPr>
        <w:t>This</w:t>
      </w:r>
      <w:r>
        <w:rPr>
          <w:rFonts w:ascii="Arial;Helvetica;sans-serif" w:hAnsi="Arial;Helvetica;sans-serif"/>
          <w:spacing w:val="-3"/>
          <w:sz w:val="19"/>
        </w:rPr>
        <w:t xml:space="preserve"> </w:t>
      </w:r>
      <w:r>
        <w:rPr>
          <w:rFonts w:ascii="Times New Roman;Times;serif" w:hAnsi="Times New Roman;Times;serif"/>
          <w:sz w:val="19"/>
        </w:rPr>
        <w:t>collection</w:t>
      </w:r>
      <w:r>
        <w:rPr>
          <w:rFonts w:ascii="Arial;Helvetica;sans-serif" w:hAnsi="Arial;Helvetica;sans-serif"/>
          <w:spacing w:val="-3"/>
          <w:sz w:val="19"/>
        </w:rPr>
        <w:t xml:space="preserve"> </w:t>
      </w:r>
      <w:r>
        <w:rPr>
          <w:rFonts w:ascii="Times New Roman;Times;serif" w:hAnsi="Times New Roman;Times;serif"/>
          <w:sz w:val="19"/>
        </w:rPr>
        <w:t>arrangement</w:t>
      </w:r>
      <w:r>
        <w:rPr>
          <w:rFonts w:ascii="Arial;Helvetica;sans-serif" w:hAnsi="Arial;Helvetica;sans-serif"/>
          <w:spacing w:val="-2"/>
          <w:sz w:val="19"/>
        </w:rPr>
        <w:t xml:space="preserve"> </w:t>
      </w:r>
      <w:r>
        <w:rPr>
          <w:rFonts w:ascii="Times New Roman;Times;serif" w:hAnsi="Times New Roman;Times;serif"/>
          <w:sz w:val="19"/>
        </w:rPr>
        <w:t>shall</w:t>
      </w:r>
      <w:r>
        <w:rPr>
          <w:rFonts w:ascii="Arial;Helvetica;sans-serif" w:hAnsi="Arial;Helvetica;sans-serif"/>
          <w:spacing w:val="-1"/>
          <w:sz w:val="19"/>
        </w:rPr>
        <w:t xml:space="preserve"> </w:t>
      </w:r>
      <w:r>
        <w:rPr>
          <w:rFonts w:ascii="Times New Roman;Times;serif" w:hAnsi="Times New Roman;Times;serif"/>
          <w:sz w:val="19"/>
        </w:rPr>
        <w:t>not</w:t>
      </w:r>
      <w:r>
        <w:rPr>
          <w:rFonts w:ascii="Arial;Helvetica;sans-serif" w:hAnsi="Arial;Helvetica;sans-serif"/>
          <w:spacing w:val="-2"/>
          <w:sz w:val="19"/>
        </w:rPr>
        <w:t xml:space="preserve"> </w:t>
      </w:r>
      <w:r>
        <w:rPr>
          <w:rFonts w:ascii="Times New Roman;Times;serif" w:hAnsi="Times New Roman;Times;serif"/>
          <w:sz w:val="19"/>
        </w:rPr>
        <w:t>constitute</w:t>
      </w:r>
      <w:r>
        <w:rPr>
          <w:rFonts w:ascii="Arial;Helvetica;sans-serif" w:hAnsi="Arial;Helvetica;sans-serif"/>
          <w:spacing w:val="-7"/>
          <w:sz w:val="19"/>
        </w:rPr>
        <w:t xml:space="preserve"> </w:t>
      </w:r>
      <w:r>
        <w:rPr>
          <w:rFonts w:ascii="Times New Roman;Times;serif" w:hAnsi="Times New Roman;Times;serif"/>
          <w:sz w:val="19"/>
        </w:rPr>
        <w:t>a</w:t>
      </w:r>
      <w:r>
        <w:rPr>
          <w:rFonts w:ascii="Arial;Helvetica;sans-serif" w:hAnsi="Arial;Helvetica;sans-serif"/>
          <w:spacing w:val="-3"/>
          <w:sz w:val="19"/>
        </w:rPr>
        <w:t xml:space="preserve"> </w:t>
      </w:r>
      <w:r>
        <w:rPr>
          <w:rFonts w:ascii="Times New Roman;Times;serif" w:hAnsi="Times New Roman;Times;serif"/>
          <w:sz w:val="19"/>
        </w:rPr>
        <w:t>change</w:t>
      </w:r>
      <w:r>
        <w:rPr>
          <w:rFonts w:ascii="Arial;Helvetica;sans-serif" w:hAnsi="Arial;Helvetica;sans-serif"/>
          <w:spacing w:val="-3"/>
          <w:sz w:val="19"/>
        </w:rPr>
        <w:t xml:space="preserve"> </w:t>
      </w:r>
      <w:r>
        <w:rPr>
          <w:rFonts w:ascii="Times New Roman;Times;serif" w:hAnsi="Times New Roman;Times;serif"/>
          <w:sz w:val="19"/>
        </w:rPr>
        <w:t>of Seller, an assignment of this Contract, or a transfer of Seller’s obligations hereunder; Seller remains the contracting seller and remains responsible for its obligations under this Contract.</w:t>
      </w:r>
    </w:p>
    <w:p>
      <w:pPr>
        <w:pStyle w:val="TextBody"/>
        <w:bidi w:val="0"/>
        <w:spacing w:lineRule="auto" w:line="285" w:before="0" w:after="120"/>
        <w:ind w:left="360" w:right="0" w:hanging="0"/>
        <w:jc w:val="left"/>
        <w:rPr>
          <w:rFonts w:ascii="Arial;Helvetica;sans-serif" w:hAnsi="Arial;Helvetica;sans-serif"/>
          <w:b/>
          <w:sz w:val="19"/>
        </w:rPr>
      </w:pPr>
      <w:r>
        <w:rPr>
          <w:rFonts w:ascii="Times New Roman;Times;serif" w:hAnsi="Times New Roman;Times;serif"/>
          <w:b/>
          <w:spacing w:val="-2"/>
          <w:sz w:val="19"/>
        </w:rPr>
        <w:t>Authorized</w:t>
      </w:r>
      <w:r>
        <w:rPr>
          <w:rFonts w:ascii="Arial;Helvetica;sans-serif" w:hAnsi="Arial;Helvetica;sans-serif"/>
          <w:b/>
          <w:spacing w:val="6"/>
          <w:sz w:val="19"/>
        </w:rPr>
        <w:t xml:space="preserve"> </w:t>
      </w:r>
      <w:r>
        <w:rPr>
          <w:rFonts w:ascii="Times New Roman;Times;serif" w:hAnsi="Times New Roman;Times;serif"/>
          <w:b/>
          <w:spacing w:val="-2"/>
          <w:sz w:val="19"/>
        </w:rPr>
        <w:t>Collection</w:t>
      </w:r>
      <w:r>
        <w:rPr>
          <w:rFonts w:ascii="Arial;Helvetica;sans-serif" w:hAnsi="Arial;Helvetica;sans-serif"/>
          <w:b/>
          <w:spacing w:val="6"/>
          <w:sz w:val="19"/>
        </w:rPr>
        <w:t xml:space="preserve"> </w:t>
      </w:r>
      <w:r>
        <w:rPr>
          <w:rFonts w:ascii="Times New Roman;Times;serif" w:hAnsi="Times New Roman;Times;serif"/>
          <w:b/>
          <w:spacing w:val="-2"/>
          <w:sz w:val="19"/>
        </w:rPr>
        <w:t>Account</w:t>
      </w:r>
    </w:p>
    <w:p>
      <w:pPr>
        <w:pStyle w:val="TextBody"/>
        <w:bidi w:val="0"/>
        <w:spacing w:lineRule="auto" w:line="285" w:before="0" w:after="120"/>
        <w:ind w:left="360" w:right="8539" w:hanging="0"/>
        <w:jc w:val="left"/>
        <w:rPr>
          <w:rFonts w:ascii="Arial;Helvetica;sans-serif" w:hAnsi="Arial;Helvetica;sans-serif"/>
          <w:sz w:val="19"/>
        </w:rPr>
      </w:pPr>
      <w:r>
        <w:rPr>
          <w:rFonts w:ascii="Times New Roman;Times;serif" w:hAnsi="Times New Roman;Times;serif"/>
          <w:sz w:val="19"/>
        </w:rPr>
        <w:t>Account</w:t>
      </w:r>
      <w:r>
        <w:rPr>
          <w:rFonts w:ascii="Arial;Helvetica;sans-serif" w:hAnsi="Arial;Helvetica;sans-serif"/>
          <w:spacing w:val="-14"/>
          <w:sz w:val="19"/>
        </w:rPr>
        <w:t xml:space="preserve"> </w:t>
      </w:r>
      <w:r>
        <w:rPr>
          <w:rFonts w:ascii="Times New Roman;Times;serif" w:hAnsi="Times New Roman;Times;serif"/>
          <w:sz w:val="19"/>
        </w:rPr>
        <w:t>Name:</w:t>
      </w:r>
      <w:r>
        <w:rPr>
          <w:rFonts w:ascii="Arial;Helvetica;sans-serif" w:hAnsi="Arial;Helvetica;sans-serif"/>
          <w:spacing w:val="-13"/>
          <w:sz w:val="19"/>
        </w:rPr>
        <w:t xml:space="preserve"> </w:t>
      </w:r>
      <w:r>
        <w:rPr>
          <w:rFonts w:ascii="Times New Roman;Times;serif" w:hAnsi="Times New Roman;Times;serif"/>
          <w:sz w:val="20"/>
        </w:rPr>
        <w:t>[*]</w:t>
      </w:r>
    </w:p>
    <w:p>
      <w:pPr>
        <w:pStyle w:val="TextBody"/>
        <w:bidi w:val="0"/>
        <w:spacing w:lineRule="auto" w:line="285" w:before="0" w:after="120"/>
        <w:ind w:left="360" w:right="8539" w:hanging="0"/>
        <w:jc w:val="left"/>
        <w:rPr>
          <w:rFonts w:ascii="Arial;Helvetica;sans-serif" w:hAnsi="Arial;Helvetica;sans-serif"/>
          <w:sz w:val="19"/>
        </w:rPr>
      </w:pPr>
      <w:r>
        <w:rPr>
          <w:rFonts w:ascii="Times New Roman;Times;serif" w:hAnsi="Times New Roman;Times;serif"/>
          <w:sz w:val="19"/>
        </w:rPr>
        <w:t xml:space="preserve">Account No.: </w:t>
      </w:r>
      <w:r>
        <w:rPr>
          <w:rFonts w:ascii="Times New Roman;Times;serif" w:hAnsi="Times New Roman;Times;serif"/>
          <w:sz w:val="20"/>
        </w:rPr>
        <w:t>[*]</w:t>
      </w:r>
    </w:p>
    <w:p>
      <w:pPr>
        <w:pStyle w:val="TextBody"/>
        <w:bidi w:val="0"/>
        <w:spacing w:lineRule="auto" w:line="285" w:before="0" w:after="120"/>
        <w:ind w:left="360" w:right="8539" w:hanging="0"/>
        <w:jc w:val="left"/>
        <w:rPr>
          <w:rFonts w:ascii="Arial;Helvetica;sans-serif" w:hAnsi="Arial;Helvetica;sans-serif"/>
          <w:sz w:val="19"/>
        </w:rPr>
      </w:pPr>
      <w:r>
        <w:rPr>
          <w:rFonts w:ascii="Times New Roman;Times;serif" w:hAnsi="Times New Roman;Times;serif"/>
          <w:sz w:val="19"/>
        </w:rPr>
        <w:t xml:space="preserve">Bank: </w:t>
      </w:r>
      <w:r>
        <w:rPr>
          <w:rFonts w:ascii="Times New Roman;Times;serif" w:hAnsi="Times New Roman;Times;serif"/>
          <w:sz w:val="20"/>
        </w:rPr>
        <w:t>[*]</w:t>
      </w:r>
    </w:p>
    <w:p>
      <w:pPr>
        <w:pStyle w:val="TextBody"/>
        <w:bidi w:val="0"/>
        <w:spacing w:lineRule="auto" w:line="285" w:before="0" w:after="120"/>
        <w:ind w:left="360" w:right="0" w:hanging="0"/>
        <w:jc w:val="left"/>
        <w:rPr>
          <w:rFonts w:ascii="Arial;Helvetica;sans-serif" w:hAnsi="Arial;Helvetica;sans-serif"/>
          <w:sz w:val="19"/>
        </w:rPr>
      </w:pPr>
      <w:r>
        <w:rPr>
          <w:rFonts w:ascii="Times New Roman;Times;serif" w:hAnsi="Times New Roman;Times;serif"/>
          <w:sz w:val="19"/>
        </w:rPr>
        <w:t>Bank</w:t>
      </w:r>
      <w:r>
        <w:rPr>
          <w:rFonts w:ascii="Arial;Helvetica;sans-serif" w:hAnsi="Arial;Helvetica;sans-serif"/>
          <w:spacing w:val="-4"/>
          <w:sz w:val="19"/>
        </w:rPr>
        <w:t xml:space="preserve"> </w:t>
      </w:r>
      <w:r>
        <w:rPr>
          <w:rFonts w:ascii="Times New Roman;Times;serif" w:hAnsi="Times New Roman;Times;serif"/>
          <w:sz w:val="19"/>
        </w:rPr>
        <w:t>Address:</w:t>
      </w:r>
      <w:r>
        <w:rPr>
          <w:rFonts w:ascii="Arial;Helvetica;sans-serif" w:hAnsi="Arial;Helvetica;sans-serif"/>
          <w:spacing w:val="-4"/>
          <w:sz w:val="19"/>
        </w:rPr>
        <w:t xml:space="preserve"> </w:t>
      </w:r>
      <w:r>
        <w:rPr>
          <w:rFonts w:ascii="Times New Roman;Times;serif" w:hAnsi="Times New Roman;Times;serif"/>
          <w:spacing w:val="-5"/>
          <w:sz w:val="20"/>
        </w:rPr>
        <w:t>[*]</w:t>
      </w:r>
    </w:p>
    <w:p>
      <w:pPr>
        <w:pStyle w:val="TextBody"/>
        <w:bidi w:val="0"/>
        <w:spacing w:lineRule="auto" w:line="285" w:before="0" w:after="0"/>
        <w:ind w:left="360" w:right="0" w:hanging="0"/>
        <w:jc w:val="left"/>
        <w:rPr>
          <w:rFonts w:ascii="Arial;Helvetica;sans-serif" w:hAnsi="Arial;Helvetica;sans-serif"/>
          <w:sz w:val="19"/>
        </w:rPr>
      </w:pPr>
      <w:r>
        <w:rPr>
          <w:rFonts w:ascii="Times New Roman;Times;serif" w:hAnsi="Times New Roman;Times;serif"/>
          <w:sz w:val="19"/>
        </w:rPr>
        <w:t>SWIFT:</w:t>
      </w:r>
      <w:r>
        <w:rPr>
          <w:rFonts w:ascii="Arial;Helvetica;sans-serif" w:hAnsi="Arial;Helvetica;sans-serif"/>
          <w:spacing w:val="-6"/>
          <w:sz w:val="19"/>
        </w:rPr>
        <w:t xml:space="preserve"> </w:t>
      </w:r>
      <w:r>
        <w:rPr>
          <w:rFonts w:ascii="Times New Roman;Times;serif" w:hAnsi="Times New Roman;Times;serif"/>
          <w:spacing w:val="-5"/>
          <w:sz w:val="20"/>
        </w:rPr>
        <w:t>[*]</w:t>
      </w:r>
    </w:p>
    <w:tbl>
      <w:tblPr>
        <w:tblW w:w="1948" w:type="dxa"/>
        <w:jc w:val="left"/>
        <w:tblInd w:w="0" w:type="dxa"/>
        <w:tblLayout w:type="fixed"/>
        <w:tblCellMar>
          <w:top w:w="0" w:type="dxa"/>
          <w:left w:w="0" w:type="dxa"/>
          <w:bottom w:w="0" w:type="dxa"/>
          <w:right w:w="0" w:type="dxa"/>
        </w:tblCellMar>
      </w:tblPr>
      <w:tblGrid>
        <w:gridCol w:w="185"/>
        <w:gridCol w:w="1763"/>
      </w:tblGrid>
      <w:tr>
        <w:trPr/>
        <w:tc>
          <w:tcPr>
            <w:tcW w:w="185" w:type="dxa"/>
            <w:tcBorders/>
            <w:vAlign w:val="center"/>
          </w:tcPr>
          <w:p>
            <w:pPr>
              <w:pStyle w:val="TableContents"/>
              <w:bidi w:val="0"/>
              <w:spacing w:before="0" w:after="283"/>
              <w:jc w:val="left"/>
              <w:rPr>
                <w:rFonts w:ascii="Times New Roman;Times;serif" w:hAnsi="Times New Roman;Times;serif"/>
                <w:b/>
                <w:sz w:val="21"/>
              </w:rPr>
            </w:pPr>
            <w:r>
              <w:rPr>
                <w:rFonts w:ascii="Times New Roman;Times;serif" w:hAnsi="Times New Roman;Times;serif"/>
                <w:b/>
                <w:sz w:val="21"/>
              </w:rPr>
              <w:t>4.</w:t>
            </w:r>
          </w:p>
        </w:tc>
        <w:tc>
          <w:tcPr>
            <w:tcW w:w="1763"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1"/>
              </w:rPr>
              <w:t>DELIVERY</w:t>
            </w:r>
            <w:r>
              <w:rPr>
                <w:caps w:val="false"/>
                <w:smallCaps w:val="false"/>
                <w:spacing w:val="-13"/>
              </w:rPr>
              <w:t xml:space="preserve"> </w:t>
            </w:r>
            <w:r>
              <w:rPr>
                <w:rFonts w:ascii="Times New Roman;Times;serif" w:hAnsi="Times New Roman;Times;serif"/>
                <w:b/>
                <w:i w:val="false"/>
                <w:caps w:val="false"/>
                <w:smallCaps w:val="false"/>
                <w:spacing w:val="-4"/>
                <w:sz w:val="21"/>
              </w:rPr>
              <w:t>TERM</w:t>
            </w:r>
          </w:p>
        </w:tc>
      </w:tr>
    </w:tbl>
    <w:p>
      <w:pPr>
        <w:pStyle w:val="TextBody"/>
        <w:bidi w:val="0"/>
        <w:spacing w:lineRule="auto" w:line="300" w:before="104" w:after="0"/>
        <w:ind w:left="0" w:right="0" w:hanging="0"/>
        <w:jc w:val="left"/>
        <w:rPr>
          <w:rFonts w:ascii="Arial;Helvetica;sans-serif" w:hAnsi="Arial;Helvetica;sans-serif"/>
          <w:sz w:val="19"/>
        </w:rPr>
      </w:pPr>
      <w:r>
        <w:rPr>
          <w:rFonts w:ascii="Times New Roman;Times;serif" w:hAnsi="Times New Roman;Times;serif"/>
          <w:sz w:val="19"/>
        </w:rPr>
        <w:t>Delivery shall be EXW Seller’s designated warehouse in accordance with Incoterms® 2020. The specific place of delivery</w:t>
      </w:r>
      <w:r>
        <w:rPr>
          <w:rFonts w:ascii="Arial;Helvetica;sans-serif" w:hAnsi="Arial;Helvetica;sans-serif"/>
          <w:spacing w:val="-2"/>
          <w:sz w:val="19"/>
        </w:rPr>
        <w:t xml:space="preserve"> </w:t>
      </w:r>
      <w:r>
        <w:rPr>
          <w:rFonts w:ascii="Times New Roman;Times;serif" w:hAnsi="Times New Roman;Times;serif"/>
          <w:sz w:val="19"/>
        </w:rPr>
        <w:t>shall</w:t>
      </w:r>
      <w:r>
        <w:rPr>
          <w:rFonts w:ascii="Arial;Helvetica;sans-serif" w:hAnsi="Arial;Helvetica;sans-serif"/>
          <w:spacing w:val="-1"/>
          <w:sz w:val="19"/>
        </w:rPr>
        <w:t xml:space="preserve"> </w:t>
      </w:r>
      <w:r>
        <w:rPr>
          <w:rFonts w:ascii="Times New Roman;Times;serif" w:hAnsi="Times New Roman;Times;serif"/>
          <w:sz w:val="19"/>
        </w:rPr>
        <w:t>be</w:t>
      </w:r>
      <w:r>
        <w:rPr>
          <w:rFonts w:ascii="Arial;Helvetica;sans-serif" w:hAnsi="Arial;Helvetica;sans-serif"/>
          <w:spacing w:val="-2"/>
          <w:sz w:val="19"/>
        </w:rPr>
        <w:t xml:space="preserve"> </w:t>
      </w:r>
      <w:r>
        <w:rPr>
          <w:rFonts w:ascii="Times New Roman;Times;serif" w:hAnsi="Times New Roman;Times;serif"/>
          <w:sz w:val="19"/>
        </w:rPr>
        <w:t>notified</w:t>
      </w:r>
      <w:r>
        <w:rPr>
          <w:rFonts w:ascii="Arial;Helvetica;sans-serif" w:hAnsi="Arial;Helvetica;sans-serif"/>
          <w:spacing w:val="-2"/>
          <w:sz w:val="19"/>
        </w:rPr>
        <w:t xml:space="preserve"> </w:t>
      </w:r>
      <w:r>
        <w:rPr>
          <w:rFonts w:ascii="Times New Roman;Times;serif" w:hAnsi="Times New Roman;Times;serif"/>
          <w:sz w:val="19"/>
        </w:rPr>
        <w:t>by</w:t>
      </w:r>
      <w:r>
        <w:rPr>
          <w:rFonts w:ascii="Arial;Helvetica;sans-serif" w:hAnsi="Arial;Helvetica;sans-serif"/>
          <w:spacing w:val="-2"/>
          <w:sz w:val="19"/>
        </w:rPr>
        <w:t xml:space="preserve"> </w:t>
      </w:r>
      <w:r>
        <w:rPr>
          <w:rFonts w:ascii="Times New Roman;Times;serif" w:hAnsi="Times New Roman;Times;serif"/>
          <w:sz w:val="19"/>
        </w:rPr>
        <w:t>Seller</w:t>
      </w:r>
      <w:r>
        <w:rPr>
          <w:rFonts w:ascii="Arial;Helvetica;sans-serif" w:hAnsi="Arial;Helvetica;sans-serif"/>
          <w:spacing w:val="-1"/>
          <w:sz w:val="19"/>
        </w:rPr>
        <w:t xml:space="preserve"> </w:t>
      </w:r>
      <w:r>
        <w:rPr>
          <w:rFonts w:ascii="Times New Roman;Times;serif" w:hAnsi="Times New Roman;Times;serif"/>
          <w:sz w:val="19"/>
        </w:rPr>
        <w:t>to</w:t>
      </w:r>
      <w:r>
        <w:rPr>
          <w:rFonts w:ascii="Arial;Helvetica;sans-serif" w:hAnsi="Arial;Helvetica;sans-serif"/>
          <w:spacing w:val="-2"/>
          <w:sz w:val="19"/>
        </w:rPr>
        <w:t xml:space="preserve"> </w:t>
      </w:r>
      <w:r>
        <w:rPr>
          <w:rFonts w:ascii="Times New Roman;Times;serif" w:hAnsi="Times New Roman;Times;serif"/>
          <w:sz w:val="19"/>
        </w:rPr>
        <w:t>Buyer</w:t>
      </w:r>
      <w:r>
        <w:rPr>
          <w:rFonts w:ascii="Arial;Helvetica;sans-serif" w:hAnsi="Arial;Helvetica;sans-serif"/>
          <w:spacing w:val="-1"/>
          <w:sz w:val="19"/>
        </w:rPr>
        <w:t xml:space="preserve"> </w:t>
      </w:r>
      <w:r>
        <w:rPr>
          <w:rFonts w:ascii="Times New Roman;Times;serif" w:hAnsi="Times New Roman;Times;serif"/>
          <w:sz w:val="19"/>
        </w:rPr>
        <w:t>in</w:t>
      </w:r>
      <w:r>
        <w:rPr>
          <w:rFonts w:ascii="Arial;Helvetica;sans-serif" w:hAnsi="Arial;Helvetica;sans-serif"/>
          <w:spacing w:val="-2"/>
          <w:sz w:val="19"/>
        </w:rPr>
        <w:t xml:space="preserve"> </w:t>
      </w:r>
      <w:r>
        <w:rPr>
          <w:rFonts w:ascii="Times New Roman;Times;serif" w:hAnsi="Times New Roman;Times;serif"/>
          <w:sz w:val="19"/>
        </w:rPr>
        <w:t>writing</w:t>
      </w:r>
      <w:r>
        <w:rPr>
          <w:rFonts w:ascii="Arial;Helvetica;sans-serif" w:hAnsi="Arial;Helvetica;sans-serif"/>
          <w:spacing w:val="-2"/>
          <w:sz w:val="19"/>
        </w:rPr>
        <w:t xml:space="preserve"> </w:t>
      </w:r>
      <w:r>
        <w:rPr>
          <w:rFonts w:ascii="Times New Roman;Times;serif" w:hAnsi="Times New Roman;Times;serif"/>
          <w:sz w:val="19"/>
        </w:rPr>
        <w:t>when</w:t>
      </w:r>
      <w:r>
        <w:rPr>
          <w:rFonts w:ascii="Arial;Helvetica;sans-serif" w:hAnsi="Arial;Helvetica;sans-serif"/>
          <w:spacing w:val="-2"/>
          <w:sz w:val="19"/>
        </w:rPr>
        <w:t xml:space="preserve"> </w:t>
      </w:r>
      <w:r>
        <w:rPr>
          <w:rFonts w:ascii="Times New Roman;Times;serif" w:hAnsi="Times New Roman;Times;serif"/>
          <w:sz w:val="19"/>
        </w:rPr>
        <w:t>delivery</w:t>
      </w:r>
      <w:r>
        <w:rPr>
          <w:rFonts w:ascii="Arial;Helvetica;sans-serif" w:hAnsi="Arial;Helvetica;sans-serif"/>
          <w:spacing w:val="-2"/>
          <w:sz w:val="19"/>
        </w:rPr>
        <w:t xml:space="preserve"> </w:t>
      </w:r>
      <w:r>
        <w:rPr>
          <w:rFonts w:ascii="Times New Roman;Times;serif" w:hAnsi="Times New Roman;Times;serif"/>
          <w:sz w:val="19"/>
        </w:rPr>
        <w:t>is</w:t>
      </w:r>
      <w:r>
        <w:rPr>
          <w:rFonts w:ascii="Arial;Helvetica;sans-serif" w:hAnsi="Arial;Helvetica;sans-serif"/>
          <w:spacing w:val="-2"/>
          <w:sz w:val="19"/>
        </w:rPr>
        <w:t xml:space="preserve"> </w:t>
      </w:r>
      <w:r>
        <w:rPr>
          <w:rFonts w:ascii="Times New Roman;Times;serif" w:hAnsi="Times New Roman;Times;serif"/>
          <w:sz w:val="19"/>
        </w:rPr>
        <w:t>arranged.</w:t>
      </w:r>
      <w:r>
        <w:rPr>
          <w:rFonts w:ascii="Arial;Helvetica;sans-serif" w:hAnsi="Arial;Helvetica;sans-serif"/>
          <w:spacing w:val="-1"/>
          <w:sz w:val="19"/>
        </w:rPr>
        <w:t xml:space="preserve"> </w:t>
      </w:r>
      <w:r>
        <w:rPr>
          <w:rFonts w:ascii="Times New Roman;Times;serif" w:hAnsi="Times New Roman;Times;serif"/>
          <w:sz w:val="19"/>
        </w:rPr>
        <w:t>Following</w:t>
      </w:r>
      <w:r>
        <w:rPr>
          <w:rFonts w:ascii="Arial;Helvetica;sans-serif" w:hAnsi="Arial;Helvetica;sans-serif"/>
          <w:spacing w:val="-2"/>
          <w:sz w:val="19"/>
        </w:rPr>
        <w:t xml:space="preserve"> </w:t>
      </w:r>
      <w:r>
        <w:rPr>
          <w:rFonts w:ascii="Times New Roman;Times;serif" w:hAnsi="Times New Roman;Times;serif"/>
          <w:sz w:val="19"/>
        </w:rPr>
        <w:t>receipt</w:t>
      </w:r>
      <w:r>
        <w:rPr>
          <w:rFonts w:ascii="Arial;Helvetica;sans-serif" w:hAnsi="Arial;Helvetica;sans-serif"/>
          <w:spacing w:val="-1"/>
          <w:sz w:val="19"/>
        </w:rPr>
        <w:t xml:space="preserve"> </w:t>
      </w:r>
      <w:r>
        <w:rPr>
          <w:rFonts w:ascii="Times New Roman;Times;serif" w:hAnsi="Times New Roman;Times;serif"/>
          <w:sz w:val="19"/>
        </w:rPr>
        <w:t>of</w:t>
      </w:r>
      <w:r>
        <w:rPr>
          <w:rFonts w:ascii="Arial;Helvetica;sans-serif" w:hAnsi="Arial;Helvetica;sans-serif"/>
          <w:spacing w:val="-1"/>
          <w:sz w:val="19"/>
        </w:rPr>
        <w:t xml:space="preserve"> </w:t>
      </w:r>
      <w:r>
        <w:rPr>
          <w:rFonts w:ascii="Times New Roman;Times;serif" w:hAnsi="Times New Roman;Times;serif"/>
          <w:sz w:val="19"/>
        </w:rPr>
        <w:t>the</w:t>
      </w:r>
      <w:r>
        <w:rPr>
          <w:rFonts w:ascii="Arial;Helvetica;sans-serif" w:hAnsi="Arial;Helvetica;sans-serif"/>
          <w:spacing w:val="-2"/>
          <w:sz w:val="19"/>
        </w:rPr>
        <w:t xml:space="preserve"> </w:t>
      </w:r>
      <w:r>
        <w:rPr>
          <w:rFonts w:ascii="Times New Roman;Times;serif" w:hAnsi="Times New Roman;Times;serif"/>
          <w:sz w:val="19"/>
        </w:rPr>
        <w:t>full</w:t>
      </w:r>
      <w:r>
        <w:rPr>
          <w:rFonts w:ascii="Arial;Helvetica;sans-serif" w:hAnsi="Arial;Helvetica;sans-serif"/>
          <w:spacing w:val="-2"/>
          <w:sz w:val="19"/>
        </w:rPr>
        <w:t xml:space="preserve"> </w:t>
      </w:r>
      <w:r>
        <w:rPr>
          <w:rFonts w:ascii="Times New Roman;Times;serif" w:hAnsi="Times New Roman;Times;serif"/>
          <w:sz w:val="19"/>
        </w:rPr>
        <w:t>Contract Price,</w:t>
      </w:r>
      <w:r>
        <w:rPr>
          <w:rFonts w:ascii="Arial;Helvetica;sans-serif" w:hAnsi="Arial;Helvetica;sans-serif"/>
          <w:spacing w:val="-3"/>
          <w:sz w:val="19"/>
        </w:rPr>
        <w:t xml:space="preserve"> </w:t>
      </w:r>
      <w:r>
        <w:rPr>
          <w:rFonts w:ascii="Times New Roman;Times;serif" w:hAnsi="Times New Roman;Times;serif"/>
          <w:sz w:val="19"/>
        </w:rPr>
        <w:t>Seller</w:t>
      </w:r>
      <w:r>
        <w:rPr>
          <w:rFonts w:ascii="Arial;Helvetica;sans-serif" w:hAnsi="Arial;Helvetica;sans-serif"/>
          <w:spacing w:val="-3"/>
          <w:sz w:val="19"/>
        </w:rPr>
        <w:t xml:space="preserve"> </w:t>
      </w:r>
      <w:r>
        <w:rPr>
          <w:rFonts w:ascii="Times New Roman;Times;serif" w:hAnsi="Times New Roman;Times;serif"/>
          <w:sz w:val="19"/>
        </w:rPr>
        <w:t>shall</w:t>
      </w:r>
      <w:r>
        <w:rPr>
          <w:rFonts w:ascii="Arial;Helvetica;sans-serif" w:hAnsi="Arial;Helvetica;sans-serif"/>
          <w:spacing w:val="-7"/>
          <w:sz w:val="19"/>
        </w:rPr>
        <w:t xml:space="preserve"> </w:t>
      </w:r>
      <w:r>
        <w:rPr>
          <w:rFonts w:ascii="Times New Roman;Times;serif" w:hAnsi="Times New Roman;Times;serif"/>
          <w:sz w:val="19"/>
        </w:rPr>
        <w:t>make</w:t>
      </w:r>
      <w:r>
        <w:rPr>
          <w:rFonts w:ascii="Arial;Helvetica;sans-serif" w:hAnsi="Arial;Helvetica;sans-serif"/>
          <w:spacing w:val="-5"/>
          <w:sz w:val="19"/>
        </w:rPr>
        <w:t xml:space="preserve"> </w:t>
      </w:r>
      <w:r>
        <w:rPr>
          <w:rFonts w:ascii="Times New Roman;Times;serif" w:hAnsi="Times New Roman;Times;serif"/>
          <w:sz w:val="19"/>
        </w:rPr>
        <w:t>the</w:t>
      </w:r>
      <w:r>
        <w:rPr>
          <w:rFonts w:ascii="Arial;Helvetica;sans-serif" w:hAnsi="Arial;Helvetica;sans-serif"/>
          <w:spacing w:val="-6"/>
          <w:sz w:val="19"/>
        </w:rPr>
        <w:t xml:space="preserve"> </w:t>
      </w:r>
      <w:r>
        <w:rPr>
          <w:rFonts w:ascii="Times New Roman;Times;serif" w:hAnsi="Times New Roman;Times;serif"/>
          <w:sz w:val="19"/>
        </w:rPr>
        <w:t>Goods</w:t>
      </w:r>
      <w:r>
        <w:rPr>
          <w:rFonts w:ascii="Arial;Helvetica;sans-serif" w:hAnsi="Arial;Helvetica;sans-serif"/>
          <w:spacing w:val="-9"/>
          <w:sz w:val="19"/>
        </w:rPr>
        <w:t xml:space="preserve"> </w:t>
      </w:r>
      <w:r>
        <w:rPr>
          <w:rFonts w:ascii="Times New Roman;Times;serif" w:hAnsi="Times New Roman;Times;serif"/>
          <w:sz w:val="19"/>
        </w:rPr>
        <w:t>available</w:t>
      </w:r>
      <w:r>
        <w:rPr>
          <w:rFonts w:ascii="Arial;Helvetica;sans-serif" w:hAnsi="Arial;Helvetica;sans-serif"/>
          <w:spacing w:val="-5"/>
          <w:sz w:val="19"/>
        </w:rPr>
        <w:t xml:space="preserve"> </w:t>
      </w:r>
      <w:r>
        <w:rPr>
          <w:rFonts w:ascii="Times New Roman;Times;serif" w:hAnsi="Times New Roman;Times;serif"/>
          <w:sz w:val="19"/>
        </w:rPr>
        <w:t>to</w:t>
      </w:r>
      <w:r>
        <w:rPr>
          <w:rFonts w:ascii="Arial;Helvetica;sans-serif" w:hAnsi="Arial;Helvetica;sans-serif"/>
          <w:spacing w:val="-6"/>
          <w:sz w:val="19"/>
        </w:rPr>
        <w:t xml:space="preserve"> </w:t>
      </w:r>
      <w:r>
        <w:rPr>
          <w:rFonts w:ascii="Times New Roman;Times;serif" w:hAnsi="Times New Roman;Times;serif"/>
          <w:sz w:val="19"/>
        </w:rPr>
        <w:t>Buyer</w:t>
      </w:r>
      <w:r>
        <w:rPr>
          <w:rFonts w:ascii="Arial;Helvetica;sans-serif" w:hAnsi="Arial;Helvetica;sans-serif"/>
          <w:spacing w:val="-3"/>
          <w:sz w:val="19"/>
        </w:rPr>
        <w:t xml:space="preserve"> </w:t>
      </w:r>
      <w:r>
        <w:rPr>
          <w:rFonts w:ascii="Times New Roman;Times;serif" w:hAnsi="Times New Roman;Times;serif"/>
          <w:sz w:val="19"/>
        </w:rPr>
        <w:t>at</w:t>
      </w:r>
      <w:r>
        <w:rPr>
          <w:rFonts w:ascii="Arial;Helvetica;sans-serif" w:hAnsi="Arial;Helvetica;sans-serif"/>
          <w:spacing w:val="-3"/>
          <w:sz w:val="19"/>
        </w:rPr>
        <w:t xml:space="preserve"> </w:t>
      </w:r>
      <w:r>
        <w:rPr>
          <w:rFonts w:ascii="Times New Roman;Times;serif" w:hAnsi="Times New Roman;Times;serif"/>
          <w:sz w:val="19"/>
        </w:rPr>
        <w:t>the</w:t>
      </w:r>
      <w:r>
        <w:rPr>
          <w:rFonts w:ascii="Arial;Helvetica;sans-serif" w:hAnsi="Arial;Helvetica;sans-serif"/>
          <w:spacing w:val="-10"/>
          <w:sz w:val="19"/>
        </w:rPr>
        <w:t xml:space="preserve"> </w:t>
      </w:r>
      <w:r>
        <w:rPr>
          <w:rFonts w:ascii="Times New Roman;Times;serif" w:hAnsi="Times New Roman;Times;serif"/>
          <w:sz w:val="19"/>
        </w:rPr>
        <w:t>designated</w:t>
      </w:r>
      <w:r>
        <w:rPr>
          <w:rFonts w:ascii="Arial;Helvetica;sans-serif" w:hAnsi="Arial;Helvetica;sans-serif"/>
          <w:spacing w:val="-6"/>
          <w:sz w:val="19"/>
        </w:rPr>
        <w:t xml:space="preserve"> </w:t>
      </w:r>
      <w:r>
        <w:rPr>
          <w:rFonts w:ascii="Times New Roman;Times;serif" w:hAnsi="Times New Roman;Times;serif"/>
          <w:sz w:val="19"/>
        </w:rPr>
        <w:t>place</w:t>
      </w:r>
      <w:r>
        <w:rPr>
          <w:rFonts w:ascii="Arial;Helvetica;sans-serif" w:hAnsi="Arial;Helvetica;sans-serif"/>
          <w:spacing w:val="-5"/>
          <w:sz w:val="19"/>
        </w:rPr>
        <w:t xml:space="preserve"> </w:t>
      </w:r>
      <w:r>
        <w:rPr>
          <w:rFonts w:ascii="Times New Roman;Times;serif" w:hAnsi="Times New Roman;Times;serif"/>
          <w:sz w:val="19"/>
        </w:rPr>
        <w:t>in</w:t>
      </w:r>
      <w:r>
        <w:rPr>
          <w:rFonts w:ascii="Arial;Helvetica;sans-serif" w:hAnsi="Arial;Helvetica;sans-serif"/>
          <w:spacing w:val="-6"/>
          <w:sz w:val="19"/>
        </w:rPr>
        <w:t xml:space="preserve"> </w:t>
      </w:r>
      <w:r>
        <w:rPr>
          <w:rFonts w:ascii="Times New Roman;Times;serif" w:hAnsi="Times New Roman;Times;serif"/>
          <w:sz w:val="19"/>
        </w:rPr>
        <w:t>accordance</w:t>
      </w:r>
      <w:r>
        <w:rPr>
          <w:rFonts w:ascii="Arial;Helvetica;sans-serif" w:hAnsi="Arial;Helvetica;sans-serif"/>
          <w:spacing w:val="-5"/>
          <w:sz w:val="19"/>
        </w:rPr>
        <w:t xml:space="preserve"> </w:t>
      </w:r>
      <w:r>
        <w:rPr>
          <w:rFonts w:ascii="Times New Roman;Times;serif" w:hAnsi="Times New Roman;Times;serif"/>
          <w:sz w:val="19"/>
        </w:rPr>
        <w:t>with</w:t>
      </w:r>
      <w:r>
        <w:rPr>
          <w:rFonts w:ascii="Arial;Helvetica;sans-serif" w:hAnsi="Arial;Helvetica;sans-serif"/>
          <w:spacing w:val="-5"/>
          <w:sz w:val="19"/>
        </w:rPr>
        <w:t xml:space="preserve"> </w:t>
      </w:r>
      <w:r>
        <w:rPr>
          <w:rFonts w:ascii="Times New Roman;Times;serif" w:hAnsi="Times New Roman;Times;serif"/>
          <w:sz w:val="19"/>
        </w:rPr>
        <w:t>the</w:t>
      </w:r>
      <w:r>
        <w:rPr>
          <w:rFonts w:ascii="Arial;Helvetica;sans-serif" w:hAnsi="Arial;Helvetica;sans-serif"/>
          <w:spacing w:val="-6"/>
          <w:sz w:val="19"/>
        </w:rPr>
        <w:t xml:space="preserve"> </w:t>
      </w:r>
      <w:r>
        <w:rPr>
          <w:rFonts w:ascii="Times New Roman;Times;serif" w:hAnsi="Times New Roman;Times;serif"/>
          <w:sz w:val="19"/>
        </w:rPr>
        <w:t>agreed</w:t>
      </w:r>
      <w:r>
        <w:rPr>
          <w:rFonts w:ascii="Arial;Helvetica;sans-serif" w:hAnsi="Arial;Helvetica;sans-serif"/>
          <w:spacing w:val="-6"/>
          <w:sz w:val="19"/>
        </w:rPr>
        <w:t xml:space="preserve"> </w:t>
      </w:r>
      <w:r>
        <w:rPr>
          <w:rFonts w:ascii="Times New Roman;Times;serif" w:hAnsi="Times New Roman;Times;serif"/>
          <w:sz w:val="19"/>
        </w:rPr>
        <w:t xml:space="preserve">delivery </w:t>
      </w:r>
      <w:r>
        <w:rPr>
          <w:rFonts w:ascii="Times New Roman;Times;serif" w:hAnsi="Times New Roman;Times;serif"/>
          <w:spacing w:val="-2"/>
          <w:sz w:val="19"/>
        </w:rPr>
        <w:t>arrangements.</w:t>
      </w:r>
    </w:p>
    <w:tbl>
      <w:tblPr>
        <w:tblW w:w="3088" w:type="dxa"/>
        <w:jc w:val="left"/>
        <w:tblInd w:w="0" w:type="dxa"/>
        <w:tblLayout w:type="fixed"/>
        <w:tblCellMar>
          <w:top w:w="0" w:type="dxa"/>
          <w:left w:w="0" w:type="dxa"/>
          <w:bottom w:w="0" w:type="dxa"/>
          <w:right w:w="0" w:type="dxa"/>
        </w:tblCellMar>
      </w:tblPr>
      <w:tblGrid>
        <w:gridCol w:w="185"/>
        <w:gridCol w:w="2903"/>
      </w:tblGrid>
      <w:tr>
        <w:trPr/>
        <w:tc>
          <w:tcPr>
            <w:tcW w:w="185" w:type="dxa"/>
            <w:tcBorders/>
            <w:vAlign w:val="center"/>
          </w:tcPr>
          <w:p>
            <w:pPr>
              <w:pStyle w:val="TableContents"/>
              <w:bidi w:val="0"/>
              <w:spacing w:before="0" w:after="283"/>
              <w:jc w:val="left"/>
              <w:rPr>
                <w:rFonts w:ascii="Times New Roman;Times;serif" w:hAnsi="Times New Roman;Times;serif"/>
                <w:b/>
                <w:sz w:val="21"/>
              </w:rPr>
            </w:pPr>
            <w:r>
              <w:rPr>
                <w:rFonts w:ascii="Times New Roman;Times;serif" w:hAnsi="Times New Roman;Times;serif"/>
                <w:b/>
                <w:sz w:val="21"/>
              </w:rPr>
              <w:t>5.</w:t>
            </w:r>
          </w:p>
        </w:tc>
        <w:tc>
          <w:tcPr>
            <w:tcW w:w="2903"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1"/>
              </w:rPr>
              <w:t>DELIVERY,</w:t>
            </w:r>
            <w:r>
              <w:rPr>
                <w:caps w:val="false"/>
                <w:smallCaps w:val="false"/>
                <w:spacing w:val="-10"/>
              </w:rPr>
              <w:t xml:space="preserve"> </w:t>
            </w:r>
            <w:r>
              <w:rPr>
                <w:rFonts w:ascii="Times New Roman;Times;serif" w:hAnsi="Times New Roman;Times;serif"/>
                <w:b/>
                <w:i w:val="false"/>
                <w:caps w:val="false"/>
                <w:smallCaps w:val="false"/>
                <w:sz w:val="21"/>
              </w:rPr>
              <w:t>TITLE</w:t>
            </w:r>
            <w:r>
              <w:rPr>
                <w:caps w:val="false"/>
                <w:smallCaps w:val="false"/>
                <w:spacing w:val="-12"/>
              </w:rPr>
              <w:t xml:space="preserve"> </w:t>
            </w:r>
            <w:r>
              <w:rPr>
                <w:rFonts w:ascii="Times New Roman;Times;serif" w:hAnsi="Times New Roman;Times;serif"/>
                <w:b/>
                <w:i w:val="false"/>
                <w:caps w:val="false"/>
                <w:smallCaps w:val="false"/>
                <w:sz w:val="21"/>
              </w:rPr>
              <w:t>AND</w:t>
            </w:r>
            <w:r>
              <w:rPr>
                <w:caps w:val="false"/>
                <w:smallCaps w:val="false"/>
                <w:spacing w:val="-9"/>
              </w:rPr>
              <w:t xml:space="preserve"> </w:t>
            </w:r>
            <w:r>
              <w:rPr>
                <w:rFonts w:ascii="Times New Roman;Times;serif" w:hAnsi="Times New Roman;Times;serif"/>
                <w:b/>
                <w:i w:val="false"/>
                <w:caps w:val="false"/>
                <w:smallCaps w:val="false"/>
                <w:spacing w:val="-4"/>
                <w:sz w:val="21"/>
              </w:rPr>
              <w:t>RISK</w:t>
            </w:r>
          </w:p>
        </w:tc>
      </w:tr>
    </w:tbl>
    <w:p>
      <w:pPr>
        <w:pStyle w:val="TextBody"/>
        <w:bidi w:val="0"/>
        <w:spacing w:lineRule="auto" w:line="300" w:before="104" w:after="0"/>
        <w:ind w:left="0" w:right="0" w:hanging="0"/>
        <w:jc w:val="left"/>
        <w:rPr>
          <w:rFonts w:ascii="Arial;Helvetica;sans-serif" w:hAnsi="Arial;Helvetica;sans-serif"/>
          <w:sz w:val="19"/>
        </w:rPr>
      </w:pPr>
      <w:r>
        <w:rPr>
          <w:rFonts w:ascii="Times New Roman;Times;serif" w:hAnsi="Times New Roman;Times;serif"/>
          <w:sz w:val="19"/>
        </w:rPr>
        <w:t>Upon completion of delivery of the Goods in accordance with</w:t>
      </w:r>
      <w:r>
        <w:rPr>
          <w:rFonts w:ascii="Arial;Helvetica;sans-serif" w:hAnsi="Arial;Helvetica;sans-serif"/>
          <w:spacing w:val="-2"/>
          <w:sz w:val="19"/>
        </w:rPr>
        <w:t xml:space="preserve"> </w:t>
      </w:r>
      <w:r>
        <w:rPr>
          <w:rFonts w:ascii="Times New Roman;Times;serif" w:hAnsi="Times New Roman;Times;serif"/>
          <w:sz w:val="19"/>
        </w:rPr>
        <w:t>the EXW term under</w:t>
      </w:r>
      <w:r>
        <w:rPr>
          <w:rFonts w:ascii="Arial;Helvetica;sans-serif" w:hAnsi="Arial;Helvetica;sans-serif"/>
          <w:spacing w:val="-1"/>
          <w:sz w:val="19"/>
        </w:rPr>
        <w:t xml:space="preserve"> </w:t>
      </w:r>
      <w:r>
        <w:rPr>
          <w:rFonts w:ascii="Times New Roman;Times;serif" w:hAnsi="Times New Roman;Times;serif"/>
          <w:sz w:val="19"/>
        </w:rPr>
        <w:t>this Contract, the Goods shall be deemed</w:t>
      </w:r>
      <w:r>
        <w:rPr>
          <w:rFonts w:ascii="Arial;Helvetica;sans-serif" w:hAnsi="Arial;Helvetica;sans-serif"/>
          <w:spacing w:val="-6"/>
          <w:sz w:val="19"/>
        </w:rPr>
        <w:t xml:space="preserve"> </w:t>
      </w:r>
      <w:r>
        <w:rPr>
          <w:rFonts w:ascii="Times New Roman;Times;serif" w:hAnsi="Times New Roman;Times;serif"/>
          <w:sz w:val="19"/>
        </w:rPr>
        <w:t>accepted</w:t>
      </w:r>
      <w:r>
        <w:rPr>
          <w:rFonts w:ascii="Arial;Helvetica;sans-serif" w:hAnsi="Arial;Helvetica;sans-serif"/>
          <w:spacing w:val="-6"/>
          <w:sz w:val="19"/>
        </w:rPr>
        <w:t xml:space="preserve"> </w:t>
      </w:r>
      <w:r>
        <w:rPr>
          <w:rFonts w:ascii="Times New Roman;Times;serif" w:hAnsi="Times New Roman;Times;serif"/>
          <w:sz w:val="19"/>
        </w:rPr>
        <w:t>by</w:t>
      </w:r>
      <w:r>
        <w:rPr>
          <w:rFonts w:ascii="Arial;Helvetica;sans-serif" w:hAnsi="Arial;Helvetica;sans-serif"/>
          <w:spacing w:val="-6"/>
          <w:sz w:val="19"/>
        </w:rPr>
        <w:t xml:space="preserve"> </w:t>
      </w:r>
      <w:r>
        <w:rPr>
          <w:rFonts w:ascii="Times New Roman;Times;serif" w:hAnsi="Times New Roman;Times;serif"/>
          <w:sz w:val="19"/>
        </w:rPr>
        <w:t>Buyer,</w:t>
      </w:r>
      <w:r>
        <w:rPr>
          <w:rFonts w:ascii="Arial;Helvetica;sans-serif" w:hAnsi="Arial;Helvetica;sans-serif"/>
          <w:spacing w:val="-3"/>
          <w:sz w:val="19"/>
        </w:rPr>
        <w:t xml:space="preserve"> </w:t>
      </w:r>
      <w:r>
        <w:rPr>
          <w:rFonts w:ascii="Times New Roman;Times;serif" w:hAnsi="Times New Roman;Times;serif"/>
          <w:sz w:val="19"/>
        </w:rPr>
        <w:t>and</w:t>
      </w:r>
      <w:r>
        <w:rPr>
          <w:rFonts w:ascii="Arial;Helvetica;sans-serif" w:hAnsi="Arial;Helvetica;sans-serif"/>
          <w:spacing w:val="-10"/>
          <w:sz w:val="19"/>
        </w:rPr>
        <w:t xml:space="preserve"> </w:t>
      </w:r>
      <w:r>
        <w:rPr>
          <w:rFonts w:ascii="Times New Roman;Times;serif" w:hAnsi="Times New Roman;Times;serif"/>
          <w:sz w:val="19"/>
        </w:rPr>
        <w:t>title</w:t>
      </w:r>
      <w:r>
        <w:rPr>
          <w:rFonts w:ascii="Arial;Helvetica;sans-serif" w:hAnsi="Arial;Helvetica;sans-serif"/>
          <w:spacing w:val="-4"/>
          <w:sz w:val="19"/>
        </w:rPr>
        <w:t xml:space="preserve"> </w:t>
      </w:r>
      <w:r>
        <w:rPr>
          <w:rFonts w:ascii="Times New Roman;Times;serif" w:hAnsi="Times New Roman;Times;serif"/>
          <w:sz w:val="19"/>
        </w:rPr>
        <w:t>to</w:t>
      </w:r>
      <w:r>
        <w:rPr>
          <w:rFonts w:ascii="Arial;Helvetica;sans-serif" w:hAnsi="Arial;Helvetica;sans-serif"/>
          <w:spacing w:val="-11"/>
          <w:sz w:val="19"/>
        </w:rPr>
        <w:t xml:space="preserve"> </w:t>
      </w:r>
      <w:r>
        <w:rPr>
          <w:rFonts w:ascii="Times New Roman;Times;serif" w:hAnsi="Times New Roman;Times;serif"/>
          <w:sz w:val="19"/>
        </w:rPr>
        <w:t>the</w:t>
      </w:r>
      <w:r>
        <w:rPr>
          <w:rFonts w:ascii="Arial;Helvetica;sans-serif" w:hAnsi="Arial;Helvetica;sans-serif"/>
          <w:spacing w:val="-6"/>
          <w:sz w:val="19"/>
        </w:rPr>
        <w:t xml:space="preserve"> </w:t>
      </w:r>
      <w:r>
        <w:rPr>
          <w:rFonts w:ascii="Times New Roman;Times;serif" w:hAnsi="Times New Roman;Times;serif"/>
          <w:sz w:val="19"/>
        </w:rPr>
        <w:t>Goods</w:t>
      </w:r>
      <w:r>
        <w:rPr>
          <w:rFonts w:ascii="Arial;Helvetica;sans-serif" w:hAnsi="Arial;Helvetica;sans-serif"/>
          <w:spacing w:val="-6"/>
          <w:sz w:val="19"/>
        </w:rPr>
        <w:t xml:space="preserve"> </w:t>
      </w:r>
      <w:r>
        <w:rPr>
          <w:rFonts w:ascii="Times New Roman;Times;serif" w:hAnsi="Times New Roman;Times;serif"/>
          <w:sz w:val="19"/>
        </w:rPr>
        <w:t>and</w:t>
      </w:r>
      <w:r>
        <w:rPr>
          <w:rFonts w:ascii="Arial;Helvetica;sans-serif" w:hAnsi="Arial;Helvetica;sans-serif"/>
          <w:spacing w:val="-10"/>
          <w:sz w:val="19"/>
        </w:rPr>
        <w:t xml:space="preserve"> </w:t>
      </w:r>
      <w:r>
        <w:rPr>
          <w:rFonts w:ascii="Times New Roman;Times;serif" w:hAnsi="Times New Roman;Times;serif"/>
          <w:sz w:val="19"/>
        </w:rPr>
        <w:t>all</w:t>
      </w:r>
      <w:r>
        <w:rPr>
          <w:rFonts w:ascii="Arial;Helvetica;sans-serif" w:hAnsi="Arial;Helvetica;sans-serif"/>
          <w:spacing w:val="-7"/>
          <w:sz w:val="19"/>
        </w:rPr>
        <w:t xml:space="preserve"> </w:t>
      </w:r>
      <w:r>
        <w:rPr>
          <w:rFonts w:ascii="Times New Roman;Times;serif" w:hAnsi="Times New Roman;Times;serif"/>
          <w:sz w:val="19"/>
        </w:rPr>
        <w:t>risk</w:t>
      </w:r>
      <w:r>
        <w:rPr>
          <w:rFonts w:ascii="Arial;Helvetica;sans-serif" w:hAnsi="Arial;Helvetica;sans-serif"/>
          <w:spacing w:val="-5"/>
          <w:sz w:val="19"/>
        </w:rPr>
        <w:t xml:space="preserve"> </w:t>
      </w:r>
      <w:r>
        <w:rPr>
          <w:rFonts w:ascii="Times New Roman;Times;serif" w:hAnsi="Times New Roman;Times;serif"/>
          <w:sz w:val="19"/>
        </w:rPr>
        <w:t>of</w:t>
      </w:r>
      <w:r>
        <w:rPr>
          <w:rFonts w:ascii="Arial;Helvetica;sans-serif" w:hAnsi="Arial;Helvetica;sans-serif"/>
          <w:spacing w:val="-3"/>
          <w:sz w:val="19"/>
        </w:rPr>
        <w:t xml:space="preserve"> </w:t>
      </w:r>
      <w:r>
        <w:rPr>
          <w:rFonts w:ascii="Times New Roman;Times;serif" w:hAnsi="Times New Roman;Times;serif"/>
          <w:sz w:val="19"/>
        </w:rPr>
        <w:t>loss,</w:t>
      </w:r>
      <w:r>
        <w:rPr>
          <w:rFonts w:ascii="Arial;Helvetica;sans-serif" w:hAnsi="Arial;Helvetica;sans-serif"/>
          <w:spacing w:val="-7"/>
          <w:sz w:val="19"/>
        </w:rPr>
        <w:t xml:space="preserve"> </w:t>
      </w:r>
      <w:r>
        <w:rPr>
          <w:rFonts w:ascii="Times New Roman;Times;serif" w:hAnsi="Times New Roman;Times;serif"/>
          <w:sz w:val="19"/>
        </w:rPr>
        <w:t>damage</w:t>
      </w:r>
      <w:r>
        <w:rPr>
          <w:rFonts w:ascii="Arial;Helvetica;sans-serif" w:hAnsi="Arial;Helvetica;sans-serif"/>
          <w:spacing w:val="-6"/>
          <w:sz w:val="19"/>
        </w:rPr>
        <w:t xml:space="preserve"> </w:t>
      </w:r>
      <w:r>
        <w:rPr>
          <w:rFonts w:ascii="Times New Roman;Times;serif" w:hAnsi="Times New Roman;Times;serif"/>
          <w:sz w:val="19"/>
        </w:rPr>
        <w:t>or</w:t>
      </w:r>
      <w:r>
        <w:rPr>
          <w:rFonts w:ascii="Arial;Helvetica;sans-serif" w:hAnsi="Arial;Helvetica;sans-serif"/>
          <w:spacing w:val="-3"/>
          <w:sz w:val="19"/>
        </w:rPr>
        <w:t xml:space="preserve"> </w:t>
      </w:r>
      <w:r>
        <w:rPr>
          <w:rFonts w:ascii="Times New Roman;Times;serif" w:hAnsi="Times New Roman;Times;serif"/>
          <w:sz w:val="19"/>
        </w:rPr>
        <w:t>other</w:t>
      </w:r>
      <w:r>
        <w:rPr>
          <w:rFonts w:ascii="Arial;Helvetica;sans-serif" w:hAnsi="Arial;Helvetica;sans-serif"/>
          <w:spacing w:val="-3"/>
          <w:sz w:val="19"/>
        </w:rPr>
        <w:t xml:space="preserve"> </w:t>
      </w:r>
      <w:r>
        <w:rPr>
          <w:rFonts w:ascii="Times New Roman;Times;serif" w:hAnsi="Times New Roman;Times;serif"/>
          <w:sz w:val="19"/>
        </w:rPr>
        <w:t>casualty</w:t>
      </w:r>
      <w:r>
        <w:rPr>
          <w:rFonts w:ascii="Arial;Helvetica;sans-serif" w:hAnsi="Arial;Helvetica;sans-serif"/>
          <w:spacing w:val="-4"/>
          <w:sz w:val="19"/>
        </w:rPr>
        <w:t xml:space="preserve"> </w:t>
      </w:r>
      <w:r>
        <w:rPr>
          <w:rFonts w:ascii="Times New Roman;Times;serif" w:hAnsi="Times New Roman;Times;serif"/>
          <w:sz w:val="19"/>
        </w:rPr>
        <w:t>shall</w:t>
      </w:r>
      <w:r>
        <w:rPr>
          <w:rFonts w:ascii="Arial;Helvetica;sans-serif" w:hAnsi="Arial;Helvetica;sans-serif"/>
          <w:spacing w:val="-7"/>
          <w:sz w:val="19"/>
        </w:rPr>
        <w:t xml:space="preserve"> </w:t>
      </w:r>
      <w:r>
        <w:rPr>
          <w:rFonts w:ascii="Times New Roman;Times;serif" w:hAnsi="Times New Roman;Times;serif"/>
          <w:spacing w:val="-2"/>
          <w:sz w:val="19"/>
        </w:rPr>
        <w:t>simultaneously</w:t>
      </w:r>
    </w:p>
    <w:p>
      <w:pPr>
        <w:pStyle w:val="TextBody"/>
        <w:bidi w:val="0"/>
        <w:spacing w:lineRule="auto" w:line="285" w:before="480" w:after="0"/>
        <w:ind w:left="0" w:right="0" w:hanging="0"/>
        <w:jc w:val="center"/>
        <w:rPr>
          <w:rFonts w:ascii="Times New Roman;Times;serif" w:hAnsi="Times New Roman;Times;serif"/>
          <w:sz w:val="19"/>
        </w:rPr>
      </w:pPr>
      <w:r>
        <w:rPr>
          <w:rFonts w:ascii="Times New Roman;Times;serif" w:hAnsi="Times New Roman;Times;serif"/>
          <w:sz w:val="19"/>
        </w:rPr>
        <w:t>Page 1</w:t>
      </w:r>
    </w:p>
    <w:p>
      <w:pPr>
        <w:pStyle w:val="HorizontalLine"/>
        <w:pBdr>
          <w:bottom w:val="double" w:sz="2" w:space="0" w:color="808080"/>
        </w:pBdr>
        <w:bidi w:val="0"/>
        <w:spacing w:before="0" w:after="283"/>
        <w:jc w:val="left"/>
        <w:rPr/>
      </w:pPr>
      <w:r>
        <w:rPr/>
      </w:r>
    </w:p>
    <w:p>
      <w:pPr>
        <w:pStyle w:val="TextBody"/>
        <w:bidi w:val="0"/>
        <w:spacing w:lineRule="auto" w:line="307" w:before="0" w:after="0"/>
        <w:ind w:left="0" w:right="461" w:hanging="0"/>
        <w:jc w:val="left"/>
        <w:rPr>
          <w:rFonts w:ascii="Arial;Helvetica;sans-serif" w:hAnsi="Arial;Helvetica;sans-serif"/>
          <w:sz w:val="19"/>
        </w:rPr>
      </w:pPr>
      <w:r>
        <w:rPr>
          <w:rFonts w:ascii="Times New Roman;Times;serif" w:hAnsi="Times New Roman;Times;serif"/>
          <w:sz w:val="19"/>
        </w:rPr>
        <w:t>pass</w:t>
      </w:r>
      <w:r>
        <w:rPr>
          <w:rFonts w:ascii="Arial;Helvetica;sans-serif" w:hAnsi="Arial;Helvetica;sans-serif"/>
          <w:spacing w:val="-6"/>
          <w:sz w:val="19"/>
        </w:rPr>
        <w:t xml:space="preserve"> </w:t>
      </w:r>
      <w:r>
        <w:rPr>
          <w:rFonts w:ascii="Times New Roman;Times;serif" w:hAnsi="Times New Roman;Times;serif"/>
          <w:sz w:val="19"/>
        </w:rPr>
        <w:t>to</w:t>
      </w:r>
      <w:r>
        <w:rPr>
          <w:rFonts w:ascii="Arial;Helvetica;sans-serif" w:hAnsi="Arial;Helvetica;sans-serif"/>
          <w:spacing w:val="-6"/>
          <w:sz w:val="19"/>
        </w:rPr>
        <w:t xml:space="preserve"> </w:t>
      </w:r>
      <w:r>
        <w:rPr>
          <w:rFonts w:ascii="Times New Roman;Times;serif" w:hAnsi="Times New Roman;Times;serif"/>
          <w:sz w:val="19"/>
        </w:rPr>
        <w:t>Buyer.</w:t>
      </w:r>
      <w:r>
        <w:rPr>
          <w:rFonts w:ascii="Arial;Helvetica;sans-serif" w:hAnsi="Arial;Helvetica;sans-serif"/>
          <w:spacing w:val="-6"/>
          <w:sz w:val="19"/>
        </w:rPr>
        <w:t xml:space="preserve"> </w:t>
      </w:r>
      <w:r>
        <w:rPr>
          <w:rFonts w:ascii="Times New Roman;Times;serif" w:hAnsi="Times New Roman;Times;serif"/>
          <w:sz w:val="19"/>
        </w:rPr>
        <w:t>Unless</w:t>
      </w:r>
      <w:r>
        <w:rPr>
          <w:rFonts w:ascii="Arial;Helvetica;sans-serif" w:hAnsi="Arial;Helvetica;sans-serif"/>
          <w:spacing w:val="-6"/>
          <w:sz w:val="19"/>
        </w:rPr>
        <w:t xml:space="preserve"> </w:t>
      </w:r>
      <w:r>
        <w:rPr>
          <w:rFonts w:ascii="Times New Roman;Times;serif" w:hAnsi="Times New Roman;Times;serif"/>
          <w:sz w:val="19"/>
        </w:rPr>
        <w:t>otherwise</w:t>
      </w:r>
      <w:r>
        <w:rPr>
          <w:rFonts w:ascii="Arial;Helvetica;sans-serif" w:hAnsi="Arial;Helvetica;sans-serif"/>
          <w:spacing w:val="-5"/>
          <w:sz w:val="19"/>
        </w:rPr>
        <w:t xml:space="preserve"> </w:t>
      </w:r>
      <w:r>
        <w:rPr>
          <w:rFonts w:ascii="Times New Roman;Times;serif" w:hAnsi="Times New Roman;Times;serif"/>
          <w:sz w:val="19"/>
        </w:rPr>
        <w:t>agreed</w:t>
      </w:r>
      <w:r>
        <w:rPr>
          <w:rFonts w:ascii="Arial;Helvetica;sans-serif" w:hAnsi="Arial;Helvetica;sans-serif"/>
          <w:spacing w:val="-6"/>
          <w:sz w:val="19"/>
        </w:rPr>
        <w:t xml:space="preserve"> </w:t>
      </w:r>
      <w:r>
        <w:rPr>
          <w:rFonts w:ascii="Times New Roman;Times;serif" w:hAnsi="Times New Roman;Times;serif"/>
          <w:sz w:val="19"/>
        </w:rPr>
        <w:t>in</w:t>
      </w:r>
      <w:r>
        <w:rPr>
          <w:rFonts w:ascii="Arial;Helvetica;sans-serif" w:hAnsi="Arial;Helvetica;sans-serif"/>
          <w:spacing w:val="-6"/>
          <w:sz w:val="19"/>
        </w:rPr>
        <w:t xml:space="preserve"> </w:t>
      </w:r>
      <w:r>
        <w:rPr>
          <w:rFonts w:ascii="Times New Roman;Times;serif" w:hAnsi="Times New Roman;Times;serif"/>
          <w:sz w:val="19"/>
        </w:rPr>
        <w:t>writing,</w:t>
      </w:r>
      <w:r>
        <w:rPr>
          <w:rFonts w:ascii="Arial;Helvetica;sans-serif" w:hAnsi="Arial;Helvetica;sans-serif"/>
          <w:spacing w:val="-3"/>
          <w:sz w:val="19"/>
        </w:rPr>
        <w:t xml:space="preserve"> </w:t>
      </w:r>
      <w:r>
        <w:rPr>
          <w:rFonts w:ascii="Times New Roman;Times;serif" w:hAnsi="Times New Roman;Times;serif"/>
          <w:sz w:val="19"/>
        </w:rPr>
        <w:t>Seller</w:t>
      </w:r>
      <w:r>
        <w:rPr>
          <w:rFonts w:ascii="Arial;Helvetica;sans-serif" w:hAnsi="Arial;Helvetica;sans-serif"/>
          <w:spacing w:val="-3"/>
          <w:sz w:val="19"/>
        </w:rPr>
        <w:t xml:space="preserve"> </w:t>
      </w:r>
      <w:r>
        <w:rPr>
          <w:rFonts w:ascii="Times New Roman;Times;serif" w:hAnsi="Times New Roman;Times;serif"/>
          <w:sz w:val="19"/>
        </w:rPr>
        <w:t>shall</w:t>
      </w:r>
      <w:r>
        <w:rPr>
          <w:rFonts w:ascii="Arial;Helvetica;sans-serif" w:hAnsi="Arial;Helvetica;sans-serif"/>
          <w:spacing w:val="-6"/>
          <w:sz w:val="19"/>
        </w:rPr>
        <w:t xml:space="preserve"> </w:t>
      </w:r>
      <w:r>
        <w:rPr>
          <w:rFonts w:ascii="Times New Roman;Times;serif" w:hAnsi="Times New Roman;Times;serif"/>
          <w:sz w:val="19"/>
        </w:rPr>
        <w:t>have</w:t>
      </w:r>
      <w:r>
        <w:rPr>
          <w:rFonts w:ascii="Arial;Helvetica;sans-serif" w:hAnsi="Arial;Helvetica;sans-serif"/>
          <w:spacing w:val="-6"/>
          <w:sz w:val="19"/>
        </w:rPr>
        <w:t xml:space="preserve"> </w:t>
      </w:r>
      <w:r>
        <w:rPr>
          <w:rFonts w:ascii="Times New Roman;Times;serif" w:hAnsi="Times New Roman;Times;serif"/>
          <w:sz w:val="19"/>
        </w:rPr>
        <w:t>no</w:t>
      </w:r>
      <w:r>
        <w:rPr>
          <w:rFonts w:ascii="Arial;Helvetica;sans-serif" w:hAnsi="Arial;Helvetica;sans-serif"/>
          <w:spacing w:val="-6"/>
          <w:sz w:val="19"/>
        </w:rPr>
        <w:t xml:space="preserve"> </w:t>
      </w:r>
      <w:r>
        <w:rPr>
          <w:rFonts w:ascii="Times New Roman;Times;serif" w:hAnsi="Times New Roman;Times;serif"/>
          <w:sz w:val="19"/>
        </w:rPr>
        <w:t>obligation</w:t>
      </w:r>
      <w:r>
        <w:rPr>
          <w:rFonts w:ascii="Arial;Helvetica;sans-serif" w:hAnsi="Arial;Helvetica;sans-serif"/>
          <w:spacing w:val="-5"/>
          <w:sz w:val="19"/>
        </w:rPr>
        <w:t xml:space="preserve"> </w:t>
      </w:r>
      <w:r>
        <w:rPr>
          <w:rFonts w:ascii="Times New Roman;Times;serif" w:hAnsi="Times New Roman;Times;serif"/>
          <w:sz w:val="19"/>
        </w:rPr>
        <w:t>to</w:t>
      </w:r>
      <w:r>
        <w:rPr>
          <w:rFonts w:ascii="Arial;Helvetica;sans-serif" w:hAnsi="Arial;Helvetica;sans-serif"/>
          <w:spacing w:val="-6"/>
          <w:sz w:val="19"/>
        </w:rPr>
        <w:t xml:space="preserve"> </w:t>
      </w:r>
      <w:r>
        <w:rPr>
          <w:rFonts w:ascii="Times New Roman;Times;serif" w:hAnsi="Times New Roman;Times;serif"/>
          <w:sz w:val="19"/>
        </w:rPr>
        <w:t>load</w:t>
      </w:r>
      <w:r>
        <w:rPr>
          <w:rFonts w:ascii="Arial;Helvetica;sans-serif" w:hAnsi="Arial;Helvetica;sans-serif"/>
          <w:spacing w:val="-6"/>
          <w:sz w:val="19"/>
        </w:rPr>
        <w:t xml:space="preserve"> </w:t>
      </w:r>
      <w:r>
        <w:rPr>
          <w:rFonts w:ascii="Times New Roman;Times;serif" w:hAnsi="Times New Roman;Times;serif"/>
          <w:sz w:val="19"/>
        </w:rPr>
        <w:t>the</w:t>
      </w:r>
      <w:r>
        <w:rPr>
          <w:rFonts w:ascii="Arial;Helvetica;sans-serif" w:hAnsi="Arial;Helvetica;sans-serif"/>
          <w:spacing w:val="-6"/>
          <w:sz w:val="19"/>
        </w:rPr>
        <w:t xml:space="preserve"> </w:t>
      </w:r>
      <w:r>
        <w:rPr>
          <w:rFonts w:ascii="Times New Roman;Times;serif" w:hAnsi="Times New Roman;Times;serif"/>
          <w:sz w:val="19"/>
        </w:rPr>
        <w:t>Goods</w:t>
      </w:r>
      <w:r>
        <w:rPr>
          <w:rFonts w:ascii="Arial;Helvetica;sans-serif" w:hAnsi="Arial;Helvetica;sans-serif"/>
          <w:spacing w:val="-6"/>
          <w:sz w:val="19"/>
        </w:rPr>
        <w:t xml:space="preserve"> </w:t>
      </w:r>
      <w:r>
        <w:rPr>
          <w:rFonts w:ascii="Times New Roman;Times;serif" w:hAnsi="Times New Roman;Times;serif"/>
          <w:sz w:val="19"/>
        </w:rPr>
        <w:t>onto</w:t>
      </w:r>
      <w:r>
        <w:rPr>
          <w:rFonts w:ascii="Arial;Helvetica;sans-serif" w:hAnsi="Arial;Helvetica;sans-serif"/>
          <w:spacing w:val="-6"/>
          <w:sz w:val="19"/>
        </w:rPr>
        <w:t xml:space="preserve"> </w:t>
      </w:r>
      <w:r>
        <w:rPr>
          <w:rFonts w:ascii="Times New Roman;Times;serif" w:hAnsi="Times New Roman;Times;serif"/>
          <w:sz w:val="19"/>
        </w:rPr>
        <w:t>Buyer’s</w:t>
      </w:r>
      <w:r>
        <w:rPr>
          <w:rFonts w:ascii="Arial;Helvetica;sans-serif" w:hAnsi="Arial;Helvetica;sans-serif"/>
          <w:spacing w:val="-5"/>
          <w:sz w:val="19"/>
        </w:rPr>
        <w:t xml:space="preserve"> </w:t>
      </w:r>
      <w:r>
        <w:rPr>
          <w:rFonts w:ascii="Times New Roman;Times;serif" w:hAnsi="Times New Roman;Times;serif"/>
          <w:sz w:val="19"/>
        </w:rPr>
        <w:t>or</w:t>
      </w:r>
      <w:r>
        <w:rPr>
          <w:rFonts w:ascii="Arial;Helvetica;sans-serif" w:hAnsi="Arial;Helvetica;sans-serif"/>
          <w:spacing w:val="-3"/>
          <w:sz w:val="19"/>
        </w:rPr>
        <w:t xml:space="preserve"> </w:t>
      </w:r>
      <w:r>
        <w:rPr>
          <w:rFonts w:ascii="Times New Roman;Times;serif" w:hAnsi="Times New Roman;Times;serif"/>
          <w:sz w:val="19"/>
        </w:rPr>
        <w:t>its carrier’s vehicle.</w:t>
      </w:r>
    </w:p>
    <w:tbl>
      <w:tblPr>
        <w:tblW w:w="3487" w:type="dxa"/>
        <w:jc w:val="left"/>
        <w:tblInd w:w="0" w:type="dxa"/>
        <w:tblLayout w:type="fixed"/>
        <w:tblCellMar>
          <w:top w:w="0" w:type="dxa"/>
          <w:left w:w="0" w:type="dxa"/>
          <w:bottom w:w="0" w:type="dxa"/>
          <w:right w:w="0" w:type="dxa"/>
        </w:tblCellMar>
      </w:tblPr>
      <w:tblGrid>
        <w:gridCol w:w="185"/>
        <w:gridCol w:w="3302"/>
      </w:tblGrid>
      <w:tr>
        <w:trPr/>
        <w:tc>
          <w:tcPr>
            <w:tcW w:w="185" w:type="dxa"/>
            <w:tcBorders/>
            <w:vAlign w:val="center"/>
          </w:tcPr>
          <w:p>
            <w:pPr>
              <w:pStyle w:val="TableContents"/>
              <w:bidi w:val="0"/>
              <w:spacing w:before="0" w:after="283"/>
              <w:jc w:val="left"/>
              <w:rPr>
                <w:rFonts w:ascii="Times New Roman;Times;serif" w:hAnsi="Times New Roman;Times;serif"/>
                <w:b/>
                <w:sz w:val="21"/>
              </w:rPr>
            </w:pPr>
            <w:r>
              <w:rPr>
                <w:rFonts w:ascii="Times New Roman;Times;serif" w:hAnsi="Times New Roman;Times;serif"/>
                <w:b/>
                <w:sz w:val="21"/>
              </w:rPr>
              <w:t>6.</w:t>
            </w:r>
          </w:p>
        </w:tc>
        <w:tc>
          <w:tcPr>
            <w:tcW w:w="3302"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1"/>
              </w:rPr>
              <w:t>INSPECTION</w:t>
            </w:r>
            <w:r>
              <w:rPr>
                <w:caps w:val="false"/>
                <w:smallCaps w:val="false"/>
                <w:spacing w:val="-12"/>
              </w:rPr>
              <w:t xml:space="preserve"> </w:t>
            </w:r>
            <w:r>
              <w:rPr>
                <w:rFonts w:ascii="Times New Roman;Times;serif" w:hAnsi="Times New Roman;Times;serif"/>
                <w:b/>
                <w:i w:val="false"/>
                <w:caps w:val="false"/>
                <w:smallCaps w:val="false"/>
                <w:sz w:val="21"/>
              </w:rPr>
              <w:t>AND</w:t>
            </w:r>
            <w:r>
              <w:rPr>
                <w:caps w:val="false"/>
                <w:smallCaps w:val="false"/>
                <w:spacing w:val="-10"/>
              </w:rPr>
              <w:t xml:space="preserve"> </w:t>
            </w:r>
            <w:r>
              <w:rPr>
                <w:rFonts w:ascii="Times New Roman;Times;serif" w:hAnsi="Times New Roman;Times;serif"/>
                <w:b/>
                <w:i w:val="false"/>
                <w:caps w:val="false"/>
                <w:smallCaps w:val="false"/>
                <w:spacing w:val="-2"/>
                <w:sz w:val="21"/>
              </w:rPr>
              <w:t>ACCEPTANCE</w:t>
            </w:r>
          </w:p>
        </w:tc>
      </w:tr>
    </w:tbl>
    <w:p>
      <w:pPr>
        <w:pStyle w:val="TextBody"/>
        <w:bidi w:val="0"/>
        <w:spacing w:lineRule="auto" w:line="307" w:before="94" w:after="0"/>
        <w:ind w:left="0" w:right="461" w:hanging="0"/>
        <w:jc w:val="left"/>
        <w:rPr>
          <w:rFonts w:ascii="Arial;Helvetica;sans-serif" w:hAnsi="Arial;Helvetica;sans-serif"/>
          <w:sz w:val="19"/>
        </w:rPr>
      </w:pPr>
      <w:r>
        <w:rPr>
          <w:rFonts w:ascii="Times New Roman;Times;serif" w:hAnsi="Times New Roman;Times;serif"/>
          <w:sz w:val="19"/>
        </w:rPr>
        <w:t>Buyer</w:t>
      </w:r>
      <w:r>
        <w:rPr>
          <w:rFonts w:ascii="Arial;Helvetica;sans-serif" w:hAnsi="Arial;Helvetica;sans-serif"/>
          <w:spacing w:val="-1"/>
          <w:sz w:val="19"/>
        </w:rPr>
        <w:t xml:space="preserve"> </w:t>
      </w:r>
      <w:r>
        <w:rPr>
          <w:rFonts w:ascii="Times New Roman;Times;serif" w:hAnsi="Times New Roman;Times;serif"/>
          <w:sz w:val="19"/>
        </w:rPr>
        <w:t>may,</w:t>
      </w:r>
      <w:r>
        <w:rPr>
          <w:rFonts w:ascii="Arial;Helvetica;sans-serif" w:hAnsi="Arial;Helvetica;sans-serif"/>
          <w:spacing w:val="-1"/>
          <w:sz w:val="19"/>
        </w:rPr>
        <w:t xml:space="preserve"> </w:t>
      </w:r>
      <w:r>
        <w:rPr>
          <w:rFonts w:ascii="Times New Roman;Times;serif" w:hAnsi="Times New Roman;Times;serif"/>
          <w:sz w:val="19"/>
        </w:rPr>
        <w:t>at</w:t>
      </w:r>
      <w:r>
        <w:rPr>
          <w:rFonts w:ascii="Arial;Helvetica;sans-serif" w:hAnsi="Arial;Helvetica;sans-serif"/>
          <w:spacing w:val="-1"/>
          <w:sz w:val="19"/>
        </w:rPr>
        <w:t xml:space="preserve"> </w:t>
      </w:r>
      <w:r>
        <w:rPr>
          <w:rFonts w:ascii="Times New Roman;Times;serif" w:hAnsi="Times New Roman;Times;serif"/>
          <w:sz w:val="19"/>
        </w:rPr>
        <w:t>its</w:t>
      </w:r>
      <w:r>
        <w:rPr>
          <w:rFonts w:ascii="Arial;Helvetica;sans-serif" w:hAnsi="Arial;Helvetica;sans-serif"/>
          <w:spacing w:val="-2"/>
          <w:sz w:val="19"/>
        </w:rPr>
        <w:t xml:space="preserve"> </w:t>
      </w:r>
      <w:r>
        <w:rPr>
          <w:rFonts w:ascii="Times New Roman;Times;serif" w:hAnsi="Times New Roman;Times;serif"/>
          <w:sz w:val="19"/>
        </w:rPr>
        <w:t>own</w:t>
      </w:r>
      <w:r>
        <w:rPr>
          <w:rFonts w:ascii="Arial;Helvetica;sans-serif" w:hAnsi="Arial;Helvetica;sans-serif"/>
          <w:spacing w:val="-3"/>
          <w:sz w:val="19"/>
        </w:rPr>
        <w:t xml:space="preserve"> </w:t>
      </w:r>
      <w:r>
        <w:rPr>
          <w:rFonts w:ascii="Times New Roman;Times;serif" w:hAnsi="Times New Roman;Times;serif"/>
          <w:sz w:val="19"/>
        </w:rPr>
        <w:t>cost,</w:t>
      </w:r>
      <w:r>
        <w:rPr>
          <w:rFonts w:ascii="Arial;Helvetica;sans-serif" w:hAnsi="Arial;Helvetica;sans-serif"/>
          <w:spacing w:val="-1"/>
          <w:sz w:val="19"/>
        </w:rPr>
        <w:t xml:space="preserve"> </w:t>
      </w:r>
      <w:r>
        <w:rPr>
          <w:rFonts w:ascii="Times New Roman;Times;serif" w:hAnsi="Times New Roman;Times;serif"/>
          <w:sz w:val="19"/>
        </w:rPr>
        <w:t>conduct</w:t>
      </w:r>
      <w:r>
        <w:rPr>
          <w:rFonts w:ascii="Arial;Helvetica;sans-serif" w:hAnsi="Arial;Helvetica;sans-serif"/>
          <w:spacing w:val="-5"/>
          <w:sz w:val="19"/>
        </w:rPr>
        <w:t xml:space="preserve"> </w:t>
      </w:r>
      <w:r>
        <w:rPr>
          <w:rFonts w:ascii="Times New Roman;Times;serif" w:hAnsi="Times New Roman;Times;serif"/>
          <w:sz w:val="19"/>
        </w:rPr>
        <w:t>a</w:t>
      </w:r>
      <w:r>
        <w:rPr>
          <w:rFonts w:ascii="Arial;Helvetica;sans-serif" w:hAnsi="Arial;Helvetica;sans-serif"/>
          <w:spacing w:val="-3"/>
          <w:sz w:val="19"/>
        </w:rPr>
        <w:t xml:space="preserve"> </w:t>
      </w:r>
      <w:r>
        <w:rPr>
          <w:rFonts w:ascii="Times New Roman;Times;serif" w:hAnsi="Times New Roman;Times;serif"/>
          <w:sz w:val="19"/>
        </w:rPr>
        <w:t>reasonable</w:t>
      </w:r>
      <w:r>
        <w:rPr>
          <w:rFonts w:ascii="Arial;Helvetica;sans-serif" w:hAnsi="Arial;Helvetica;sans-serif"/>
          <w:spacing w:val="-2"/>
          <w:sz w:val="19"/>
        </w:rPr>
        <w:t xml:space="preserve"> </w:t>
      </w:r>
      <w:r>
        <w:rPr>
          <w:rFonts w:ascii="Times New Roman;Times;serif" w:hAnsi="Times New Roman;Times;serif"/>
          <w:sz w:val="19"/>
        </w:rPr>
        <w:t>inspection</w:t>
      </w:r>
      <w:r>
        <w:rPr>
          <w:rFonts w:ascii="Arial;Helvetica;sans-serif" w:hAnsi="Arial;Helvetica;sans-serif"/>
          <w:spacing w:val="-3"/>
          <w:sz w:val="19"/>
        </w:rPr>
        <w:t xml:space="preserve"> </w:t>
      </w:r>
      <w:r>
        <w:rPr>
          <w:rFonts w:ascii="Times New Roman;Times;serif" w:hAnsi="Times New Roman;Times;serif"/>
          <w:sz w:val="19"/>
        </w:rPr>
        <w:t>of</w:t>
      </w:r>
      <w:r>
        <w:rPr>
          <w:rFonts w:ascii="Arial;Helvetica;sans-serif" w:hAnsi="Arial;Helvetica;sans-serif"/>
          <w:spacing w:val="-1"/>
          <w:sz w:val="19"/>
        </w:rPr>
        <w:t xml:space="preserve"> </w:t>
      </w:r>
      <w:r>
        <w:rPr>
          <w:rFonts w:ascii="Times New Roman;Times;serif" w:hAnsi="Times New Roman;Times;serif"/>
          <w:sz w:val="19"/>
        </w:rPr>
        <w:t>the</w:t>
      </w:r>
      <w:r>
        <w:rPr>
          <w:rFonts w:ascii="Arial;Helvetica;sans-serif" w:hAnsi="Arial;Helvetica;sans-serif"/>
          <w:spacing w:val="-7"/>
          <w:sz w:val="19"/>
        </w:rPr>
        <w:t xml:space="preserve"> </w:t>
      </w:r>
      <w:r>
        <w:rPr>
          <w:rFonts w:ascii="Times New Roman;Times;serif" w:hAnsi="Times New Roman;Times;serif"/>
          <w:sz w:val="19"/>
        </w:rPr>
        <w:t>Goods</w:t>
      </w:r>
      <w:r>
        <w:rPr>
          <w:rFonts w:ascii="Arial;Helvetica;sans-serif" w:hAnsi="Arial;Helvetica;sans-serif"/>
          <w:spacing w:val="-2"/>
          <w:sz w:val="19"/>
        </w:rPr>
        <w:t xml:space="preserve"> </w:t>
      </w:r>
      <w:r>
        <w:rPr>
          <w:rFonts w:ascii="Times New Roman;Times;serif" w:hAnsi="Times New Roman;Times;serif"/>
          <w:sz w:val="19"/>
        </w:rPr>
        <w:t>prior</w:t>
      </w:r>
      <w:r>
        <w:rPr>
          <w:rFonts w:ascii="Arial;Helvetica;sans-serif" w:hAnsi="Arial;Helvetica;sans-serif"/>
          <w:spacing w:val="-5"/>
          <w:sz w:val="19"/>
        </w:rPr>
        <w:t xml:space="preserve"> </w:t>
      </w:r>
      <w:r>
        <w:rPr>
          <w:rFonts w:ascii="Times New Roman;Times;serif" w:hAnsi="Times New Roman;Times;serif"/>
          <w:sz w:val="19"/>
        </w:rPr>
        <w:t>to</w:t>
      </w:r>
      <w:r>
        <w:rPr>
          <w:rFonts w:ascii="Arial;Helvetica;sans-serif" w:hAnsi="Arial;Helvetica;sans-serif"/>
          <w:spacing w:val="-3"/>
          <w:sz w:val="19"/>
        </w:rPr>
        <w:t xml:space="preserve"> </w:t>
      </w:r>
      <w:r>
        <w:rPr>
          <w:rFonts w:ascii="Times New Roman;Times;serif" w:hAnsi="Times New Roman;Times;serif"/>
          <w:sz w:val="19"/>
        </w:rPr>
        <w:t>delivery,</w:t>
      </w:r>
      <w:r>
        <w:rPr>
          <w:rFonts w:ascii="Arial;Helvetica;sans-serif" w:hAnsi="Arial;Helvetica;sans-serif"/>
          <w:spacing w:val="-1"/>
          <w:sz w:val="19"/>
        </w:rPr>
        <w:t xml:space="preserve"> </w:t>
      </w:r>
      <w:r>
        <w:rPr>
          <w:rFonts w:ascii="Times New Roman;Times;serif" w:hAnsi="Times New Roman;Times;serif"/>
          <w:sz w:val="19"/>
        </w:rPr>
        <w:t>either</w:t>
      </w:r>
      <w:r>
        <w:rPr>
          <w:rFonts w:ascii="Arial;Helvetica;sans-serif" w:hAnsi="Arial;Helvetica;sans-serif"/>
          <w:spacing w:val="-1"/>
          <w:sz w:val="19"/>
        </w:rPr>
        <w:t xml:space="preserve"> </w:t>
      </w:r>
      <w:r>
        <w:rPr>
          <w:rFonts w:ascii="Times New Roman;Times;serif" w:hAnsi="Times New Roman;Times;serif"/>
          <w:sz w:val="19"/>
        </w:rPr>
        <w:t>directly</w:t>
      </w:r>
      <w:r>
        <w:rPr>
          <w:rFonts w:ascii="Arial;Helvetica;sans-serif" w:hAnsi="Arial;Helvetica;sans-serif"/>
          <w:spacing w:val="-1"/>
          <w:sz w:val="19"/>
        </w:rPr>
        <w:t xml:space="preserve"> </w:t>
      </w:r>
      <w:r>
        <w:rPr>
          <w:rFonts w:ascii="Times New Roman;Times;serif" w:hAnsi="Times New Roman;Times;serif"/>
          <w:sz w:val="19"/>
        </w:rPr>
        <w:t>or</w:t>
      </w:r>
      <w:r>
        <w:rPr>
          <w:rFonts w:ascii="Arial;Helvetica;sans-serif" w:hAnsi="Arial;Helvetica;sans-serif"/>
          <w:spacing w:val="-5"/>
          <w:sz w:val="19"/>
        </w:rPr>
        <w:t xml:space="preserve"> </w:t>
      </w:r>
      <w:r>
        <w:rPr>
          <w:rFonts w:ascii="Times New Roman;Times;serif" w:hAnsi="Times New Roman;Times;serif"/>
          <w:sz w:val="19"/>
        </w:rPr>
        <w:t>through</w:t>
      </w:r>
      <w:r>
        <w:rPr>
          <w:rFonts w:ascii="Arial;Helvetica;sans-serif" w:hAnsi="Arial;Helvetica;sans-serif"/>
          <w:spacing w:val="-3"/>
          <w:sz w:val="19"/>
        </w:rPr>
        <w:t xml:space="preserve"> </w:t>
      </w:r>
      <w:r>
        <w:rPr>
          <w:rFonts w:ascii="Times New Roman;Times;serif" w:hAnsi="Times New Roman;Times;serif"/>
          <w:sz w:val="19"/>
        </w:rPr>
        <w:t>a third</w:t>
      </w:r>
      <w:r>
        <w:rPr>
          <w:rFonts w:ascii="Arial;Helvetica;sans-serif" w:hAnsi="Arial;Helvetica;sans-serif"/>
          <w:spacing w:val="-5"/>
          <w:sz w:val="19"/>
        </w:rPr>
        <w:t xml:space="preserve"> </w:t>
      </w:r>
      <w:r>
        <w:rPr>
          <w:rFonts w:ascii="Times New Roman;Times;serif" w:hAnsi="Times New Roman;Times;serif"/>
          <w:sz w:val="19"/>
        </w:rPr>
        <w:t>party.</w:t>
      </w:r>
      <w:r>
        <w:rPr>
          <w:rFonts w:ascii="Arial;Helvetica;sans-serif" w:hAnsi="Arial;Helvetica;sans-serif"/>
          <w:spacing w:val="-6"/>
          <w:sz w:val="19"/>
        </w:rPr>
        <w:t xml:space="preserve"> </w:t>
      </w:r>
      <w:r>
        <w:rPr>
          <w:rFonts w:ascii="Times New Roman;Times;serif" w:hAnsi="Times New Roman;Times;serif"/>
          <w:sz w:val="19"/>
        </w:rPr>
        <w:t>If</w:t>
      </w:r>
      <w:r>
        <w:rPr>
          <w:rFonts w:ascii="Arial;Helvetica;sans-serif" w:hAnsi="Arial;Helvetica;sans-serif"/>
          <w:spacing w:val="-2"/>
          <w:sz w:val="19"/>
        </w:rPr>
        <w:t xml:space="preserve"> </w:t>
      </w:r>
      <w:r>
        <w:rPr>
          <w:rFonts w:ascii="Times New Roman;Times;serif" w:hAnsi="Times New Roman;Times;serif"/>
          <w:sz w:val="19"/>
        </w:rPr>
        <w:t>Buyer</w:t>
      </w:r>
      <w:r>
        <w:rPr>
          <w:rFonts w:ascii="Arial;Helvetica;sans-serif" w:hAnsi="Arial;Helvetica;sans-serif"/>
          <w:spacing w:val="-2"/>
          <w:sz w:val="19"/>
        </w:rPr>
        <w:t xml:space="preserve"> </w:t>
      </w:r>
      <w:r>
        <w:rPr>
          <w:rFonts w:ascii="Times New Roman;Times;serif" w:hAnsi="Times New Roman;Times;serif"/>
          <w:sz w:val="19"/>
        </w:rPr>
        <w:t>accepts</w:t>
      </w:r>
      <w:r>
        <w:rPr>
          <w:rFonts w:ascii="Arial;Helvetica;sans-serif" w:hAnsi="Arial;Helvetica;sans-serif"/>
          <w:spacing w:val="-9"/>
          <w:sz w:val="19"/>
        </w:rPr>
        <w:t xml:space="preserve"> </w:t>
      </w:r>
      <w:r>
        <w:rPr>
          <w:rFonts w:ascii="Times New Roman;Times;serif" w:hAnsi="Times New Roman;Times;serif"/>
          <w:sz w:val="19"/>
        </w:rPr>
        <w:t>delivery</w:t>
      </w:r>
      <w:r>
        <w:rPr>
          <w:rFonts w:ascii="Arial;Helvetica;sans-serif" w:hAnsi="Arial;Helvetica;sans-serif"/>
          <w:spacing w:val="-4"/>
          <w:sz w:val="19"/>
        </w:rPr>
        <w:t xml:space="preserve"> </w:t>
      </w:r>
      <w:r>
        <w:rPr>
          <w:rFonts w:ascii="Times New Roman;Times;serif" w:hAnsi="Times New Roman;Times;serif"/>
          <w:sz w:val="19"/>
        </w:rPr>
        <w:t>without</w:t>
      </w:r>
      <w:r>
        <w:rPr>
          <w:rFonts w:ascii="Arial;Helvetica;sans-serif" w:hAnsi="Arial;Helvetica;sans-serif"/>
          <w:spacing w:val="-2"/>
          <w:sz w:val="19"/>
        </w:rPr>
        <w:t xml:space="preserve"> </w:t>
      </w:r>
      <w:r>
        <w:rPr>
          <w:rFonts w:ascii="Times New Roman;Times;serif" w:hAnsi="Times New Roman;Times;serif"/>
          <w:sz w:val="19"/>
        </w:rPr>
        <w:t>inspection,</w:t>
      </w:r>
      <w:r>
        <w:rPr>
          <w:rFonts w:ascii="Arial;Helvetica;sans-serif" w:hAnsi="Arial;Helvetica;sans-serif"/>
          <w:spacing w:val="-2"/>
          <w:sz w:val="19"/>
        </w:rPr>
        <w:t xml:space="preserve"> </w:t>
      </w:r>
      <w:r>
        <w:rPr>
          <w:rFonts w:ascii="Times New Roman;Times;serif" w:hAnsi="Times New Roman;Times;serif"/>
          <w:sz w:val="19"/>
        </w:rPr>
        <w:t>Buyer</w:t>
      </w:r>
      <w:r>
        <w:rPr>
          <w:rFonts w:ascii="Arial;Helvetica;sans-serif" w:hAnsi="Arial;Helvetica;sans-serif"/>
          <w:spacing w:val="-2"/>
          <w:sz w:val="19"/>
        </w:rPr>
        <w:t xml:space="preserve"> </w:t>
      </w:r>
      <w:r>
        <w:rPr>
          <w:rFonts w:ascii="Times New Roman;Times;serif" w:hAnsi="Times New Roman;Times;serif"/>
          <w:sz w:val="19"/>
        </w:rPr>
        <w:t>shall</w:t>
      </w:r>
      <w:r>
        <w:rPr>
          <w:rFonts w:ascii="Arial;Helvetica;sans-serif" w:hAnsi="Arial;Helvetica;sans-serif"/>
          <w:spacing w:val="-6"/>
          <w:sz w:val="19"/>
        </w:rPr>
        <w:t xml:space="preserve"> </w:t>
      </w:r>
      <w:r>
        <w:rPr>
          <w:rFonts w:ascii="Times New Roman;Times;serif" w:hAnsi="Times New Roman;Times;serif"/>
          <w:sz w:val="19"/>
        </w:rPr>
        <w:t>be</w:t>
      </w:r>
      <w:r>
        <w:rPr>
          <w:rFonts w:ascii="Arial;Helvetica;sans-serif" w:hAnsi="Arial;Helvetica;sans-serif"/>
          <w:spacing w:val="-5"/>
          <w:sz w:val="19"/>
        </w:rPr>
        <w:t xml:space="preserve"> </w:t>
      </w:r>
      <w:r>
        <w:rPr>
          <w:rFonts w:ascii="Times New Roman;Times;serif" w:hAnsi="Times New Roman;Times;serif"/>
          <w:sz w:val="19"/>
        </w:rPr>
        <w:t>deemed</w:t>
      </w:r>
      <w:r>
        <w:rPr>
          <w:rFonts w:ascii="Arial;Helvetica;sans-serif" w:hAnsi="Arial;Helvetica;sans-serif"/>
          <w:spacing w:val="-5"/>
          <w:sz w:val="19"/>
        </w:rPr>
        <w:t xml:space="preserve"> </w:t>
      </w:r>
      <w:r>
        <w:rPr>
          <w:rFonts w:ascii="Times New Roman;Times;serif" w:hAnsi="Times New Roman;Times;serif"/>
          <w:sz w:val="19"/>
        </w:rPr>
        <w:t>to</w:t>
      </w:r>
      <w:r>
        <w:rPr>
          <w:rFonts w:ascii="Arial;Helvetica;sans-serif" w:hAnsi="Arial;Helvetica;sans-serif"/>
          <w:spacing w:val="-4"/>
          <w:sz w:val="19"/>
        </w:rPr>
        <w:t xml:space="preserve"> </w:t>
      </w:r>
      <w:r>
        <w:rPr>
          <w:rFonts w:ascii="Times New Roman;Times;serif" w:hAnsi="Times New Roman;Times;serif"/>
          <w:sz w:val="19"/>
        </w:rPr>
        <w:t>have</w:t>
      </w:r>
      <w:r>
        <w:rPr>
          <w:rFonts w:ascii="Arial;Helvetica;sans-serif" w:hAnsi="Arial;Helvetica;sans-serif"/>
          <w:spacing w:val="-5"/>
          <w:sz w:val="19"/>
        </w:rPr>
        <w:t xml:space="preserve"> </w:t>
      </w:r>
      <w:r>
        <w:rPr>
          <w:rFonts w:ascii="Times New Roman;Times;serif" w:hAnsi="Times New Roman;Times;serif"/>
          <w:sz w:val="19"/>
        </w:rPr>
        <w:t>waived</w:t>
      </w:r>
      <w:r>
        <w:rPr>
          <w:rFonts w:ascii="Arial;Helvetica;sans-serif" w:hAnsi="Arial;Helvetica;sans-serif"/>
          <w:spacing w:val="-5"/>
          <w:sz w:val="19"/>
        </w:rPr>
        <w:t xml:space="preserve"> </w:t>
      </w:r>
      <w:r>
        <w:rPr>
          <w:rFonts w:ascii="Times New Roman;Times;serif" w:hAnsi="Times New Roman;Times;serif"/>
          <w:sz w:val="19"/>
        </w:rPr>
        <w:t>its</w:t>
      </w:r>
      <w:r>
        <w:rPr>
          <w:rFonts w:ascii="Arial;Helvetica;sans-serif" w:hAnsi="Arial;Helvetica;sans-serif"/>
          <w:spacing w:val="-4"/>
          <w:sz w:val="19"/>
        </w:rPr>
        <w:t xml:space="preserve"> </w:t>
      </w:r>
      <w:r>
        <w:rPr>
          <w:rFonts w:ascii="Times New Roman;Times;serif" w:hAnsi="Times New Roman;Times;serif"/>
          <w:sz w:val="19"/>
        </w:rPr>
        <w:t>right</w:t>
      </w:r>
      <w:r>
        <w:rPr>
          <w:rFonts w:ascii="Arial;Helvetica;sans-serif" w:hAnsi="Arial;Helvetica;sans-serif"/>
          <w:spacing w:val="-6"/>
          <w:sz w:val="19"/>
        </w:rPr>
        <w:t xml:space="preserve"> </w:t>
      </w:r>
      <w:r>
        <w:rPr>
          <w:rFonts w:ascii="Times New Roman;Times;serif" w:hAnsi="Times New Roman;Times;serif"/>
          <w:sz w:val="19"/>
        </w:rPr>
        <w:t>to</w:t>
      </w:r>
      <w:r>
        <w:rPr>
          <w:rFonts w:ascii="Arial;Helvetica;sans-serif" w:hAnsi="Arial;Helvetica;sans-serif"/>
          <w:spacing w:val="-4"/>
          <w:sz w:val="19"/>
        </w:rPr>
        <w:t xml:space="preserve"> </w:t>
      </w:r>
      <w:r>
        <w:rPr>
          <w:rFonts w:ascii="Times New Roman;Times;serif" w:hAnsi="Times New Roman;Times;serif"/>
          <w:sz w:val="19"/>
        </w:rPr>
        <w:t>pre-delivery inspection. Completion of EXW delivery constitutes Buyer’s acceptance of the identity, quantity and reasonably apparent condition of the Goods at that time.</w:t>
      </w:r>
    </w:p>
    <w:tbl>
      <w:tblPr>
        <w:tblW w:w="2966" w:type="dxa"/>
        <w:jc w:val="left"/>
        <w:tblInd w:w="0" w:type="dxa"/>
        <w:tblLayout w:type="fixed"/>
        <w:tblCellMar>
          <w:top w:w="0" w:type="dxa"/>
          <w:left w:w="0" w:type="dxa"/>
          <w:bottom w:w="0" w:type="dxa"/>
          <w:right w:w="0" w:type="dxa"/>
        </w:tblCellMar>
      </w:tblPr>
      <w:tblGrid>
        <w:gridCol w:w="185"/>
        <w:gridCol w:w="2781"/>
      </w:tblGrid>
      <w:tr>
        <w:trPr/>
        <w:tc>
          <w:tcPr>
            <w:tcW w:w="185" w:type="dxa"/>
            <w:tcBorders/>
            <w:vAlign w:val="center"/>
          </w:tcPr>
          <w:p>
            <w:pPr>
              <w:pStyle w:val="TableContents"/>
              <w:bidi w:val="0"/>
              <w:spacing w:before="0" w:after="283"/>
              <w:jc w:val="left"/>
              <w:rPr>
                <w:rFonts w:ascii="Times New Roman;Times;serif" w:hAnsi="Times New Roman;Times;serif"/>
                <w:b/>
                <w:sz w:val="21"/>
              </w:rPr>
            </w:pPr>
            <w:r>
              <w:rPr>
                <w:rFonts w:ascii="Times New Roman;Times;serif" w:hAnsi="Times New Roman;Times;serif"/>
                <w:b/>
                <w:sz w:val="21"/>
              </w:rPr>
              <w:t>7.</w:t>
            </w:r>
          </w:p>
        </w:tc>
        <w:tc>
          <w:tcPr>
            <w:tcW w:w="2781"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1"/>
              </w:rPr>
              <w:t>QUALITY</w:t>
            </w:r>
            <w:r>
              <w:rPr>
                <w:caps w:val="false"/>
                <w:smallCaps w:val="false"/>
                <w:spacing w:val="-7"/>
              </w:rPr>
              <w:t xml:space="preserve"> </w:t>
            </w:r>
            <w:r>
              <w:rPr>
                <w:rFonts w:ascii="Times New Roman;Times;serif" w:hAnsi="Times New Roman;Times;serif"/>
                <w:b/>
                <w:i w:val="false"/>
                <w:caps w:val="false"/>
                <w:smallCaps w:val="false"/>
                <w:sz w:val="21"/>
              </w:rPr>
              <w:t>AND</w:t>
            </w:r>
            <w:r>
              <w:rPr>
                <w:caps w:val="false"/>
                <w:smallCaps w:val="false"/>
                <w:spacing w:val="-7"/>
              </w:rPr>
              <w:t xml:space="preserve"> </w:t>
            </w:r>
            <w:r>
              <w:rPr>
                <w:rFonts w:ascii="Times New Roman;Times;serif" w:hAnsi="Times New Roman;Times;serif"/>
                <w:b/>
                <w:i w:val="false"/>
                <w:caps w:val="false"/>
                <w:smallCaps w:val="false"/>
                <w:spacing w:val="-2"/>
                <w:sz w:val="21"/>
              </w:rPr>
              <w:t>WARRANTY</w:t>
            </w:r>
          </w:p>
        </w:tc>
      </w:tr>
    </w:tbl>
    <w:p>
      <w:pPr>
        <w:pStyle w:val="TextBody"/>
        <w:bidi w:val="0"/>
        <w:spacing w:lineRule="auto" w:line="307" w:before="94" w:after="0"/>
        <w:ind w:left="0" w:right="461" w:hanging="0"/>
        <w:jc w:val="left"/>
        <w:rPr>
          <w:rFonts w:ascii="Arial;Helvetica;sans-serif" w:hAnsi="Arial;Helvetica;sans-serif"/>
          <w:sz w:val="19"/>
        </w:rPr>
      </w:pPr>
      <w:r>
        <w:rPr>
          <w:rFonts w:ascii="Times New Roman;Times;serif" w:hAnsi="Times New Roman;Times;serif"/>
          <w:sz w:val="19"/>
        </w:rPr>
        <w:t>The</w:t>
      </w:r>
      <w:r>
        <w:rPr>
          <w:rFonts w:ascii="Arial;Helvetica;sans-serif" w:hAnsi="Arial;Helvetica;sans-serif"/>
          <w:spacing w:val="-6"/>
          <w:sz w:val="19"/>
        </w:rPr>
        <w:t xml:space="preserve"> </w:t>
      </w:r>
      <w:r>
        <w:rPr>
          <w:rFonts w:ascii="Times New Roman;Times;serif" w:hAnsi="Times New Roman;Times;serif"/>
          <w:sz w:val="19"/>
        </w:rPr>
        <w:t>Goods</w:t>
      </w:r>
      <w:r>
        <w:rPr>
          <w:rFonts w:ascii="Arial;Helvetica;sans-serif" w:hAnsi="Arial;Helvetica;sans-serif"/>
          <w:spacing w:val="-6"/>
          <w:sz w:val="19"/>
        </w:rPr>
        <w:t xml:space="preserve"> </w:t>
      </w:r>
      <w:r>
        <w:rPr>
          <w:rFonts w:ascii="Times New Roman;Times;serif" w:hAnsi="Times New Roman;Times;serif"/>
          <w:sz w:val="19"/>
        </w:rPr>
        <w:t>shall</w:t>
      </w:r>
      <w:r>
        <w:rPr>
          <w:rFonts w:ascii="Arial;Helvetica;sans-serif" w:hAnsi="Arial;Helvetica;sans-serif"/>
          <w:spacing w:val="-6"/>
          <w:sz w:val="19"/>
        </w:rPr>
        <w:t xml:space="preserve"> </w:t>
      </w:r>
      <w:r>
        <w:rPr>
          <w:rFonts w:ascii="Times New Roman;Times;serif" w:hAnsi="Times New Roman;Times;serif"/>
          <w:sz w:val="19"/>
        </w:rPr>
        <w:t>conform</w:t>
      </w:r>
      <w:r>
        <w:rPr>
          <w:rFonts w:ascii="Arial;Helvetica;sans-serif" w:hAnsi="Arial;Helvetica;sans-serif"/>
          <w:spacing w:val="-5"/>
          <w:sz w:val="19"/>
        </w:rPr>
        <w:t xml:space="preserve"> </w:t>
      </w:r>
      <w:r>
        <w:rPr>
          <w:rFonts w:ascii="Times New Roman;Times;serif" w:hAnsi="Times New Roman;Times;serif"/>
          <w:sz w:val="19"/>
        </w:rPr>
        <w:t>to</w:t>
      </w:r>
      <w:r>
        <w:rPr>
          <w:rFonts w:ascii="Arial;Helvetica;sans-serif" w:hAnsi="Arial;Helvetica;sans-serif"/>
          <w:spacing w:val="-10"/>
          <w:sz w:val="19"/>
        </w:rPr>
        <w:t xml:space="preserve"> </w:t>
      </w:r>
      <w:r>
        <w:rPr>
          <w:rFonts w:ascii="Times New Roman;Times;serif" w:hAnsi="Times New Roman;Times;serif"/>
          <w:sz w:val="19"/>
        </w:rPr>
        <w:t>the</w:t>
      </w:r>
      <w:r>
        <w:rPr>
          <w:rFonts w:ascii="Arial;Helvetica;sans-serif" w:hAnsi="Arial;Helvetica;sans-serif"/>
          <w:spacing w:val="-6"/>
          <w:sz w:val="19"/>
        </w:rPr>
        <w:t xml:space="preserve"> </w:t>
      </w:r>
      <w:r>
        <w:rPr>
          <w:rFonts w:ascii="Times New Roman;Times;serif" w:hAnsi="Times New Roman;Times;serif"/>
          <w:sz w:val="19"/>
        </w:rPr>
        <w:t>product</w:t>
      </w:r>
      <w:r>
        <w:rPr>
          <w:rFonts w:ascii="Arial;Helvetica;sans-serif" w:hAnsi="Arial;Helvetica;sans-serif"/>
          <w:spacing w:val="-3"/>
          <w:sz w:val="19"/>
        </w:rPr>
        <w:t xml:space="preserve"> </w:t>
      </w:r>
      <w:r>
        <w:rPr>
          <w:rFonts w:ascii="Times New Roman;Times;serif" w:hAnsi="Times New Roman;Times;serif"/>
          <w:sz w:val="19"/>
        </w:rPr>
        <w:t>description</w:t>
      </w:r>
      <w:r>
        <w:rPr>
          <w:rFonts w:ascii="Arial;Helvetica;sans-serif" w:hAnsi="Arial;Helvetica;sans-serif"/>
          <w:spacing w:val="-5"/>
          <w:sz w:val="19"/>
        </w:rPr>
        <w:t xml:space="preserve"> </w:t>
      </w:r>
      <w:r>
        <w:rPr>
          <w:rFonts w:ascii="Times New Roman;Times;serif" w:hAnsi="Times New Roman;Times;serif"/>
          <w:sz w:val="19"/>
        </w:rPr>
        <w:t>and</w:t>
      </w:r>
      <w:r>
        <w:rPr>
          <w:rFonts w:ascii="Arial;Helvetica;sans-serif" w:hAnsi="Arial;Helvetica;sans-serif"/>
          <w:spacing w:val="-6"/>
          <w:sz w:val="19"/>
        </w:rPr>
        <w:t xml:space="preserve"> </w:t>
      </w:r>
      <w:r>
        <w:rPr>
          <w:rFonts w:ascii="Times New Roman;Times;serif" w:hAnsi="Times New Roman;Times;serif"/>
          <w:sz w:val="19"/>
        </w:rPr>
        <w:t>specifications</w:t>
      </w:r>
      <w:r>
        <w:rPr>
          <w:rFonts w:ascii="Arial;Helvetica;sans-serif" w:hAnsi="Arial;Helvetica;sans-serif"/>
          <w:spacing w:val="-6"/>
          <w:sz w:val="19"/>
        </w:rPr>
        <w:t xml:space="preserve"> </w:t>
      </w:r>
      <w:r>
        <w:rPr>
          <w:rFonts w:ascii="Times New Roman;Times;serif" w:hAnsi="Times New Roman;Times;serif"/>
          <w:sz w:val="19"/>
        </w:rPr>
        <w:t>agreed</w:t>
      </w:r>
      <w:r>
        <w:rPr>
          <w:rFonts w:ascii="Arial;Helvetica;sans-serif" w:hAnsi="Arial;Helvetica;sans-serif"/>
          <w:spacing w:val="-6"/>
          <w:sz w:val="19"/>
        </w:rPr>
        <w:t xml:space="preserve"> </w:t>
      </w:r>
      <w:r>
        <w:rPr>
          <w:rFonts w:ascii="Times New Roman;Times;serif" w:hAnsi="Times New Roman;Times;serif"/>
          <w:sz w:val="19"/>
        </w:rPr>
        <w:t>by</w:t>
      </w:r>
      <w:r>
        <w:rPr>
          <w:rFonts w:ascii="Arial;Helvetica;sans-serif" w:hAnsi="Arial;Helvetica;sans-serif"/>
          <w:spacing w:val="-6"/>
          <w:sz w:val="19"/>
        </w:rPr>
        <w:t xml:space="preserve"> </w:t>
      </w:r>
      <w:r>
        <w:rPr>
          <w:rFonts w:ascii="Times New Roman;Times;serif" w:hAnsi="Times New Roman;Times;serif"/>
          <w:sz w:val="19"/>
        </w:rPr>
        <w:t>the</w:t>
      </w:r>
      <w:r>
        <w:rPr>
          <w:rFonts w:ascii="Arial;Helvetica;sans-serif" w:hAnsi="Arial;Helvetica;sans-serif"/>
          <w:spacing w:val="-6"/>
          <w:sz w:val="19"/>
        </w:rPr>
        <w:t xml:space="preserve"> </w:t>
      </w:r>
      <w:r>
        <w:rPr>
          <w:rFonts w:ascii="Times New Roman;Times;serif" w:hAnsi="Times New Roman;Times;serif"/>
          <w:sz w:val="19"/>
        </w:rPr>
        <w:t>Parties.</w:t>
      </w:r>
      <w:r>
        <w:rPr>
          <w:rFonts w:ascii="Arial;Helvetica;sans-serif" w:hAnsi="Arial;Helvetica;sans-serif"/>
          <w:spacing w:val="-3"/>
          <w:sz w:val="19"/>
        </w:rPr>
        <w:t xml:space="preserve"> </w:t>
      </w:r>
      <w:r>
        <w:rPr>
          <w:rFonts w:ascii="Times New Roman;Times;serif" w:hAnsi="Times New Roman;Times;serif"/>
          <w:sz w:val="19"/>
        </w:rPr>
        <w:t>Except</w:t>
      </w:r>
      <w:r>
        <w:rPr>
          <w:rFonts w:ascii="Arial;Helvetica;sans-serif" w:hAnsi="Arial;Helvetica;sans-serif"/>
          <w:spacing w:val="-6"/>
          <w:sz w:val="19"/>
        </w:rPr>
        <w:t xml:space="preserve"> </w:t>
      </w:r>
      <w:r>
        <w:rPr>
          <w:rFonts w:ascii="Times New Roman;Times;serif" w:hAnsi="Times New Roman;Times;serif"/>
          <w:sz w:val="19"/>
        </w:rPr>
        <w:t>for</w:t>
      </w:r>
      <w:r>
        <w:rPr>
          <w:rFonts w:ascii="Arial;Helvetica;sans-serif" w:hAnsi="Arial;Helvetica;sans-serif"/>
          <w:spacing w:val="-7"/>
          <w:sz w:val="19"/>
        </w:rPr>
        <w:t xml:space="preserve"> </w:t>
      </w:r>
      <w:r>
        <w:rPr>
          <w:rFonts w:ascii="Times New Roman;Times;serif" w:hAnsi="Times New Roman;Times;serif"/>
          <w:sz w:val="19"/>
        </w:rPr>
        <w:t>warranties expressly set forth in this Contract or otherwise agreed by the Parties in writing, Seller makes no other express or implied warranties to the extent permitted by applicable law.</w:t>
      </w:r>
    </w:p>
    <w:tbl>
      <w:tblPr>
        <w:tblW w:w="6400" w:type="dxa"/>
        <w:jc w:val="left"/>
        <w:tblInd w:w="0" w:type="dxa"/>
        <w:tblLayout w:type="fixed"/>
        <w:tblCellMar>
          <w:top w:w="0" w:type="dxa"/>
          <w:left w:w="0" w:type="dxa"/>
          <w:bottom w:w="0" w:type="dxa"/>
          <w:right w:w="0" w:type="dxa"/>
        </w:tblCellMar>
      </w:tblPr>
      <w:tblGrid>
        <w:gridCol w:w="185"/>
        <w:gridCol w:w="6215"/>
      </w:tblGrid>
      <w:tr>
        <w:trPr/>
        <w:tc>
          <w:tcPr>
            <w:tcW w:w="185" w:type="dxa"/>
            <w:tcBorders/>
            <w:vAlign w:val="center"/>
          </w:tcPr>
          <w:p>
            <w:pPr>
              <w:pStyle w:val="TableContents"/>
              <w:bidi w:val="0"/>
              <w:spacing w:before="0" w:after="283"/>
              <w:jc w:val="left"/>
              <w:rPr>
                <w:rFonts w:ascii="Times New Roman;Times;serif" w:hAnsi="Times New Roman;Times;serif"/>
                <w:b/>
                <w:sz w:val="21"/>
              </w:rPr>
            </w:pPr>
            <w:r>
              <w:rPr>
                <w:rFonts w:ascii="Times New Roman;Times;serif" w:hAnsi="Times New Roman;Times;serif"/>
                <w:b/>
                <w:sz w:val="21"/>
              </w:rPr>
              <w:t>8.</w:t>
            </w:r>
          </w:p>
        </w:tc>
        <w:tc>
          <w:tcPr>
            <w:tcW w:w="6215"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1"/>
              </w:rPr>
              <w:t>BUYER’S</w:t>
            </w:r>
            <w:r>
              <w:rPr>
                <w:caps w:val="false"/>
                <w:smallCaps w:val="false"/>
                <w:spacing w:val="-15"/>
              </w:rPr>
              <w:t xml:space="preserve"> </w:t>
            </w:r>
            <w:r>
              <w:rPr>
                <w:rFonts w:ascii="Times New Roman;Times;serif" w:hAnsi="Times New Roman;Times;serif"/>
                <w:b/>
                <w:i w:val="false"/>
                <w:caps w:val="false"/>
                <w:smallCaps w:val="false"/>
                <w:sz w:val="21"/>
              </w:rPr>
              <w:t>TRANSPORTATION</w:t>
            </w:r>
            <w:r>
              <w:rPr>
                <w:caps w:val="false"/>
                <w:smallCaps w:val="false"/>
                <w:spacing w:val="-15"/>
              </w:rPr>
              <w:t xml:space="preserve"> </w:t>
            </w:r>
            <w:r>
              <w:rPr>
                <w:rFonts w:ascii="Times New Roman;Times;serif" w:hAnsi="Times New Roman;Times;serif"/>
                <w:b/>
                <w:i w:val="false"/>
                <w:caps w:val="false"/>
                <w:smallCaps w:val="false"/>
                <w:sz w:val="21"/>
              </w:rPr>
              <w:t>AND</w:t>
            </w:r>
            <w:r>
              <w:rPr>
                <w:caps w:val="false"/>
                <w:smallCaps w:val="false"/>
                <w:spacing w:val="-13"/>
              </w:rPr>
              <w:t xml:space="preserve"> </w:t>
            </w:r>
            <w:r>
              <w:rPr>
                <w:rFonts w:ascii="Times New Roman;Times;serif" w:hAnsi="Times New Roman;Times;serif"/>
                <w:b/>
                <w:i w:val="false"/>
                <w:caps w:val="false"/>
                <w:smallCaps w:val="false"/>
                <w:sz w:val="21"/>
              </w:rPr>
              <w:t>TRADE</w:t>
            </w:r>
            <w:r>
              <w:rPr>
                <w:caps w:val="false"/>
                <w:smallCaps w:val="false"/>
                <w:spacing w:val="-12"/>
              </w:rPr>
              <w:t xml:space="preserve"> </w:t>
            </w:r>
            <w:r>
              <w:rPr>
                <w:rFonts w:ascii="Times New Roman;Times;serif" w:hAnsi="Times New Roman;Times;serif"/>
                <w:b/>
                <w:i w:val="false"/>
                <w:caps w:val="false"/>
                <w:smallCaps w:val="false"/>
                <w:spacing w:val="-2"/>
                <w:sz w:val="21"/>
              </w:rPr>
              <w:t>RESPONSIBILITIES</w:t>
            </w:r>
          </w:p>
        </w:tc>
      </w:tr>
    </w:tbl>
    <w:p>
      <w:pPr>
        <w:pStyle w:val="TextBody"/>
        <w:bidi w:val="0"/>
        <w:spacing w:lineRule="auto" w:line="307" w:before="94" w:after="0"/>
        <w:ind w:left="0" w:right="461" w:hanging="0"/>
        <w:jc w:val="left"/>
        <w:rPr>
          <w:rFonts w:ascii="Arial;Helvetica;sans-serif" w:hAnsi="Arial;Helvetica;sans-serif"/>
          <w:sz w:val="19"/>
        </w:rPr>
      </w:pPr>
      <w:r>
        <w:rPr>
          <w:rFonts w:ascii="Times New Roman;Times;serif" w:hAnsi="Times New Roman;Times;serif"/>
          <w:sz w:val="19"/>
        </w:rPr>
        <w:t>Following completion of EXW delivery, Buyer shall arrange and bear responsibility for subsequent loading, transportation,</w:t>
      </w:r>
      <w:r>
        <w:rPr>
          <w:rFonts w:ascii="Arial;Helvetica;sans-serif" w:hAnsi="Arial;Helvetica;sans-serif"/>
          <w:spacing w:val="-9"/>
          <w:sz w:val="19"/>
        </w:rPr>
        <w:t xml:space="preserve"> </w:t>
      </w:r>
      <w:r>
        <w:rPr>
          <w:rFonts w:ascii="Times New Roman;Times;serif" w:hAnsi="Times New Roman;Times;serif"/>
          <w:sz w:val="19"/>
        </w:rPr>
        <w:t>export,</w:t>
      </w:r>
      <w:r>
        <w:rPr>
          <w:rFonts w:ascii="Arial;Helvetica;sans-serif" w:hAnsi="Arial;Helvetica;sans-serif"/>
          <w:spacing w:val="-8"/>
          <w:sz w:val="19"/>
        </w:rPr>
        <w:t xml:space="preserve"> </w:t>
      </w:r>
      <w:r>
        <w:rPr>
          <w:rFonts w:ascii="Times New Roman;Times;serif" w:hAnsi="Times New Roman;Times;serif"/>
          <w:sz w:val="19"/>
        </w:rPr>
        <w:t>import,</w:t>
      </w:r>
      <w:r>
        <w:rPr>
          <w:rFonts w:ascii="Arial;Helvetica;sans-serif" w:hAnsi="Arial;Helvetica;sans-serif"/>
          <w:spacing w:val="-4"/>
          <w:sz w:val="19"/>
        </w:rPr>
        <w:t xml:space="preserve"> </w:t>
      </w:r>
      <w:r>
        <w:rPr>
          <w:rFonts w:ascii="Times New Roman;Times;serif" w:hAnsi="Times New Roman;Times;serif"/>
          <w:sz w:val="19"/>
        </w:rPr>
        <w:t>customs</w:t>
      </w:r>
      <w:r>
        <w:rPr>
          <w:rFonts w:ascii="Arial;Helvetica;sans-serif" w:hAnsi="Arial;Helvetica;sans-serif"/>
          <w:spacing w:val="-7"/>
          <w:sz w:val="19"/>
        </w:rPr>
        <w:t xml:space="preserve"> </w:t>
      </w:r>
      <w:r>
        <w:rPr>
          <w:rFonts w:ascii="Times New Roman;Times;serif" w:hAnsi="Times New Roman;Times;serif"/>
          <w:sz w:val="19"/>
        </w:rPr>
        <w:t>clearance,</w:t>
      </w:r>
      <w:r>
        <w:rPr>
          <w:rFonts w:ascii="Arial;Helvetica;sans-serif" w:hAnsi="Arial;Helvetica;sans-serif"/>
          <w:spacing w:val="-5"/>
          <w:sz w:val="19"/>
        </w:rPr>
        <w:t xml:space="preserve"> </w:t>
      </w:r>
      <w:r>
        <w:rPr>
          <w:rFonts w:ascii="Times New Roman;Times;serif" w:hAnsi="Times New Roman;Times;serif"/>
          <w:sz w:val="19"/>
        </w:rPr>
        <w:t>duties,</w:t>
      </w:r>
      <w:r>
        <w:rPr>
          <w:rFonts w:ascii="Arial;Helvetica;sans-serif" w:hAnsi="Arial;Helvetica;sans-serif"/>
          <w:spacing w:val="-8"/>
          <w:sz w:val="19"/>
        </w:rPr>
        <w:t xml:space="preserve"> </w:t>
      </w:r>
      <w:r>
        <w:rPr>
          <w:rFonts w:ascii="Times New Roman;Times;serif" w:hAnsi="Times New Roman;Times;serif"/>
          <w:sz w:val="19"/>
        </w:rPr>
        <w:t>insurance</w:t>
      </w:r>
      <w:r>
        <w:rPr>
          <w:rFonts w:ascii="Arial;Helvetica;sans-serif" w:hAnsi="Arial;Helvetica;sans-serif"/>
          <w:spacing w:val="-7"/>
          <w:sz w:val="19"/>
        </w:rPr>
        <w:t xml:space="preserve"> </w:t>
      </w:r>
      <w:r>
        <w:rPr>
          <w:rFonts w:ascii="Times New Roman;Times;serif" w:hAnsi="Times New Roman;Times;serif"/>
          <w:sz w:val="19"/>
        </w:rPr>
        <w:t>and</w:t>
      </w:r>
      <w:r>
        <w:rPr>
          <w:rFonts w:ascii="Arial;Helvetica;sans-serif" w:hAnsi="Arial;Helvetica;sans-serif"/>
          <w:spacing w:val="-7"/>
          <w:sz w:val="19"/>
        </w:rPr>
        <w:t xml:space="preserve"> </w:t>
      </w:r>
      <w:r>
        <w:rPr>
          <w:rFonts w:ascii="Times New Roman;Times;serif" w:hAnsi="Times New Roman;Times;serif"/>
          <w:sz w:val="19"/>
        </w:rPr>
        <w:t>all</w:t>
      </w:r>
      <w:r>
        <w:rPr>
          <w:rFonts w:ascii="Arial;Helvetica;sans-serif" w:hAnsi="Arial;Helvetica;sans-serif"/>
          <w:spacing w:val="-8"/>
          <w:sz w:val="19"/>
        </w:rPr>
        <w:t xml:space="preserve"> </w:t>
      </w:r>
      <w:r>
        <w:rPr>
          <w:rFonts w:ascii="Times New Roman;Times;serif" w:hAnsi="Times New Roman;Times;serif"/>
          <w:sz w:val="19"/>
        </w:rPr>
        <w:t>other</w:t>
      </w:r>
      <w:r>
        <w:rPr>
          <w:rFonts w:ascii="Arial;Helvetica;sans-serif" w:hAnsi="Arial;Helvetica;sans-serif"/>
          <w:spacing w:val="-4"/>
          <w:sz w:val="19"/>
        </w:rPr>
        <w:t xml:space="preserve"> </w:t>
      </w:r>
      <w:r>
        <w:rPr>
          <w:rFonts w:ascii="Times New Roman;Times;serif" w:hAnsi="Times New Roman;Times;serif"/>
          <w:sz w:val="19"/>
        </w:rPr>
        <w:t>related</w:t>
      </w:r>
      <w:r>
        <w:rPr>
          <w:rFonts w:ascii="Arial;Helvetica;sans-serif" w:hAnsi="Arial;Helvetica;sans-serif"/>
          <w:spacing w:val="-6"/>
          <w:sz w:val="19"/>
        </w:rPr>
        <w:t xml:space="preserve"> </w:t>
      </w:r>
      <w:r>
        <w:rPr>
          <w:rFonts w:ascii="Times New Roman;Times;serif" w:hAnsi="Times New Roman;Times;serif"/>
          <w:sz w:val="19"/>
        </w:rPr>
        <w:t>costs</w:t>
      </w:r>
      <w:r>
        <w:rPr>
          <w:rFonts w:ascii="Arial;Helvetica;sans-serif" w:hAnsi="Arial;Helvetica;sans-serif"/>
          <w:spacing w:val="-11"/>
          <w:sz w:val="19"/>
        </w:rPr>
        <w:t xml:space="preserve"> </w:t>
      </w:r>
      <w:r>
        <w:rPr>
          <w:rFonts w:ascii="Times New Roman;Times;serif" w:hAnsi="Times New Roman;Times;serif"/>
          <w:sz w:val="19"/>
        </w:rPr>
        <w:t>and</w:t>
      </w:r>
      <w:r>
        <w:rPr>
          <w:rFonts w:ascii="Arial;Helvetica;sans-serif" w:hAnsi="Arial;Helvetica;sans-serif"/>
          <w:spacing w:val="-7"/>
          <w:sz w:val="19"/>
        </w:rPr>
        <w:t xml:space="preserve"> </w:t>
      </w:r>
      <w:r>
        <w:rPr>
          <w:rFonts w:ascii="Times New Roman;Times;serif" w:hAnsi="Times New Roman;Times;serif"/>
          <w:sz w:val="19"/>
        </w:rPr>
        <w:t>risks,</w:t>
      </w:r>
      <w:r>
        <w:rPr>
          <w:rFonts w:ascii="Arial;Helvetica;sans-serif" w:hAnsi="Arial;Helvetica;sans-serif"/>
          <w:spacing w:val="-4"/>
          <w:sz w:val="19"/>
        </w:rPr>
        <w:t xml:space="preserve"> </w:t>
      </w:r>
      <w:r>
        <w:rPr>
          <w:rFonts w:ascii="Times New Roman;Times;serif" w:hAnsi="Times New Roman;Times;serif"/>
          <w:sz w:val="19"/>
        </w:rPr>
        <w:t>unless otherwise agreed in writing.</w:t>
      </w:r>
    </w:p>
    <w:tbl>
      <w:tblPr>
        <w:tblW w:w="3105" w:type="dxa"/>
        <w:jc w:val="left"/>
        <w:tblInd w:w="0" w:type="dxa"/>
        <w:tblLayout w:type="fixed"/>
        <w:tblCellMar>
          <w:top w:w="0" w:type="dxa"/>
          <w:left w:w="0" w:type="dxa"/>
          <w:bottom w:w="0" w:type="dxa"/>
          <w:right w:w="0" w:type="dxa"/>
        </w:tblCellMar>
      </w:tblPr>
      <w:tblGrid>
        <w:gridCol w:w="185"/>
        <w:gridCol w:w="2920"/>
      </w:tblGrid>
      <w:tr>
        <w:trPr/>
        <w:tc>
          <w:tcPr>
            <w:tcW w:w="185" w:type="dxa"/>
            <w:tcBorders/>
            <w:vAlign w:val="center"/>
          </w:tcPr>
          <w:p>
            <w:pPr>
              <w:pStyle w:val="TableContents"/>
              <w:bidi w:val="0"/>
              <w:spacing w:before="0" w:after="283"/>
              <w:jc w:val="left"/>
              <w:rPr>
                <w:rFonts w:ascii="Times New Roman;Times;serif" w:hAnsi="Times New Roman;Times;serif"/>
                <w:b/>
                <w:sz w:val="21"/>
              </w:rPr>
            </w:pPr>
            <w:r>
              <w:rPr>
                <w:rFonts w:ascii="Times New Roman;Times;serif" w:hAnsi="Times New Roman;Times;serif"/>
                <w:b/>
                <w:sz w:val="21"/>
              </w:rPr>
              <w:t>9.</w:t>
            </w:r>
          </w:p>
        </w:tc>
        <w:tc>
          <w:tcPr>
            <w:tcW w:w="2920"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1"/>
              </w:rPr>
              <w:t>FAILURE</w:t>
            </w:r>
            <w:r>
              <w:rPr>
                <w:caps w:val="false"/>
                <w:smallCaps w:val="false"/>
                <w:spacing w:val="-7"/>
              </w:rPr>
              <w:t xml:space="preserve"> </w:t>
            </w:r>
            <w:r>
              <w:rPr>
                <w:rFonts w:ascii="Times New Roman;Times;serif" w:hAnsi="Times New Roman;Times;serif"/>
                <w:b/>
                <w:i w:val="false"/>
                <w:caps w:val="false"/>
                <w:smallCaps w:val="false"/>
                <w:sz w:val="21"/>
              </w:rPr>
              <w:t>BY</w:t>
            </w:r>
            <w:r>
              <w:rPr>
                <w:caps w:val="false"/>
                <w:smallCaps w:val="false"/>
                <w:spacing w:val="-5"/>
              </w:rPr>
              <w:t xml:space="preserve"> </w:t>
            </w:r>
            <w:r>
              <w:rPr>
                <w:rFonts w:ascii="Times New Roman;Times;serif" w:hAnsi="Times New Roman;Times;serif"/>
                <w:b/>
                <w:i w:val="false"/>
                <w:caps w:val="false"/>
                <w:smallCaps w:val="false"/>
                <w:sz w:val="21"/>
              </w:rPr>
              <w:t>BUYER</w:t>
            </w:r>
            <w:r>
              <w:rPr>
                <w:caps w:val="false"/>
                <w:smallCaps w:val="false"/>
                <w:spacing w:val="-8"/>
              </w:rPr>
              <w:t xml:space="preserve"> </w:t>
            </w:r>
            <w:r>
              <w:rPr>
                <w:rFonts w:ascii="Times New Roman;Times;serif" w:hAnsi="Times New Roman;Times;serif"/>
                <w:b/>
                <w:i w:val="false"/>
                <w:caps w:val="false"/>
                <w:smallCaps w:val="false"/>
                <w:sz w:val="21"/>
              </w:rPr>
              <w:t>TO</w:t>
            </w:r>
            <w:r>
              <w:rPr>
                <w:caps w:val="false"/>
                <w:smallCaps w:val="false"/>
                <w:spacing w:val="-3"/>
              </w:rPr>
              <w:t xml:space="preserve"> </w:t>
            </w:r>
            <w:r>
              <w:rPr>
                <w:rFonts w:ascii="Times New Roman;Times;serif" w:hAnsi="Times New Roman;Times;serif"/>
                <w:b/>
                <w:i w:val="false"/>
                <w:caps w:val="false"/>
                <w:smallCaps w:val="false"/>
                <w:spacing w:val="-5"/>
                <w:sz w:val="21"/>
              </w:rPr>
              <w:t>PAY</w:t>
            </w:r>
          </w:p>
        </w:tc>
      </w:tr>
    </w:tbl>
    <w:p>
      <w:pPr>
        <w:pStyle w:val="TextBody"/>
        <w:bidi w:val="0"/>
        <w:spacing w:lineRule="auto" w:line="307" w:before="94" w:after="0"/>
        <w:ind w:left="0" w:right="461" w:hanging="0"/>
        <w:jc w:val="left"/>
        <w:rPr>
          <w:rFonts w:ascii="Arial;Helvetica;sans-serif" w:hAnsi="Arial;Helvetica;sans-serif"/>
          <w:sz w:val="19"/>
        </w:rPr>
      </w:pPr>
      <w:r>
        <w:rPr>
          <w:rFonts w:ascii="Times New Roman;Times;serif" w:hAnsi="Times New Roman;Times;serif"/>
          <w:sz w:val="19"/>
        </w:rPr>
        <w:t>If</w:t>
      </w:r>
      <w:r>
        <w:rPr>
          <w:rFonts w:ascii="Arial;Helvetica;sans-serif" w:hAnsi="Arial;Helvetica;sans-serif"/>
          <w:spacing w:val="-1"/>
          <w:sz w:val="19"/>
        </w:rPr>
        <w:t xml:space="preserve"> </w:t>
      </w:r>
      <w:r>
        <w:rPr>
          <w:rFonts w:ascii="Times New Roman;Times;serif" w:hAnsi="Times New Roman;Times;serif"/>
          <w:sz w:val="19"/>
        </w:rPr>
        <w:t>Buyer</w:t>
      </w:r>
      <w:r>
        <w:rPr>
          <w:rFonts w:ascii="Arial;Helvetica;sans-serif" w:hAnsi="Arial;Helvetica;sans-serif"/>
          <w:spacing w:val="-3"/>
          <w:sz w:val="19"/>
        </w:rPr>
        <w:t xml:space="preserve"> </w:t>
      </w:r>
      <w:r>
        <w:rPr>
          <w:rFonts w:ascii="Times New Roman;Times;serif" w:hAnsi="Times New Roman;Times;serif"/>
          <w:sz w:val="19"/>
        </w:rPr>
        <w:t>fails</w:t>
      </w:r>
      <w:r>
        <w:rPr>
          <w:rFonts w:ascii="Arial;Helvetica;sans-serif" w:hAnsi="Arial;Helvetica;sans-serif"/>
          <w:spacing w:val="-2"/>
          <w:sz w:val="19"/>
        </w:rPr>
        <w:t xml:space="preserve"> </w:t>
      </w:r>
      <w:r>
        <w:rPr>
          <w:rFonts w:ascii="Times New Roman;Times;serif" w:hAnsi="Times New Roman;Times;serif"/>
          <w:sz w:val="19"/>
        </w:rPr>
        <w:t>to</w:t>
      </w:r>
      <w:r>
        <w:rPr>
          <w:rFonts w:ascii="Arial;Helvetica;sans-serif" w:hAnsi="Arial;Helvetica;sans-serif"/>
          <w:spacing w:val="-2"/>
          <w:sz w:val="19"/>
        </w:rPr>
        <w:t xml:space="preserve"> </w:t>
      </w:r>
      <w:r>
        <w:rPr>
          <w:rFonts w:ascii="Times New Roman;Times;serif" w:hAnsi="Times New Roman;Times;serif"/>
          <w:sz w:val="19"/>
        </w:rPr>
        <w:t>pay</w:t>
      </w:r>
      <w:r>
        <w:rPr>
          <w:rFonts w:ascii="Arial;Helvetica;sans-serif" w:hAnsi="Arial;Helvetica;sans-serif"/>
          <w:spacing w:val="-4"/>
          <w:sz w:val="19"/>
        </w:rPr>
        <w:t xml:space="preserve"> </w:t>
      </w:r>
      <w:r>
        <w:rPr>
          <w:rFonts w:ascii="Times New Roman;Times;serif" w:hAnsi="Times New Roman;Times;serif"/>
          <w:sz w:val="19"/>
        </w:rPr>
        <w:t>the</w:t>
      </w:r>
      <w:r>
        <w:rPr>
          <w:rFonts w:ascii="Arial;Helvetica;sans-serif" w:hAnsi="Arial;Helvetica;sans-serif"/>
          <w:spacing w:val="-2"/>
          <w:sz w:val="19"/>
        </w:rPr>
        <w:t xml:space="preserve"> </w:t>
      </w:r>
      <w:r>
        <w:rPr>
          <w:rFonts w:ascii="Times New Roman;Times;serif" w:hAnsi="Times New Roman;Times;serif"/>
          <w:sz w:val="19"/>
        </w:rPr>
        <w:t>full</w:t>
      </w:r>
      <w:r>
        <w:rPr>
          <w:rFonts w:ascii="Arial;Helvetica;sans-serif" w:hAnsi="Arial;Helvetica;sans-serif"/>
          <w:spacing w:val="-3"/>
          <w:sz w:val="19"/>
        </w:rPr>
        <w:t xml:space="preserve"> </w:t>
      </w:r>
      <w:r>
        <w:rPr>
          <w:rFonts w:ascii="Times New Roman;Times;serif" w:hAnsi="Times New Roman;Times;serif"/>
          <w:sz w:val="19"/>
        </w:rPr>
        <w:t>Contract</w:t>
      </w:r>
      <w:r>
        <w:rPr>
          <w:rFonts w:ascii="Arial;Helvetica;sans-serif" w:hAnsi="Arial;Helvetica;sans-serif"/>
          <w:spacing w:val="-3"/>
          <w:sz w:val="19"/>
        </w:rPr>
        <w:t xml:space="preserve"> </w:t>
      </w:r>
      <w:r>
        <w:rPr>
          <w:rFonts w:ascii="Times New Roman;Times;serif" w:hAnsi="Times New Roman;Times;serif"/>
          <w:sz w:val="19"/>
        </w:rPr>
        <w:t>Price</w:t>
      </w:r>
      <w:r>
        <w:rPr>
          <w:rFonts w:ascii="Arial;Helvetica;sans-serif" w:hAnsi="Arial;Helvetica;sans-serif"/>
          <w:spacing w:val="-2"/>
          <w:sz w:val="19"/>
        </w:rPr>
        <w:t xml:space="preserve"> </w:t>
      </w:r>
      <w:r>
        <w:rPr>
          <w:rFonts w:ascii="Times New Roman;Times;serif" w:hAnsi="Times New Roman;Times;serif"/>
          <w:sz w:val="19"/>
        </w:rPr>
        <w:t>in</w:t>
      </w:r>
      <w:r>
        <w:rPr>
          <w:rFonts w:ascii="Arial;Helvetica;sans-serif" w:hAnsi="Arial;Helvetica;sans-serif"/>
          <w:spacing w:val="-2"/>
          <w:sz w:val="19"/>
        </w:rPr>
        <w:t xml:space="preserve"> </w:t>
      </w:r>
      <w:r>
        <w:rPr>
          <w:rFonts w:ascii="Times New Roman;Times;serif" w:hAnsi="Times New Roman;Times;serif"/>
          <w:sz w:val="19"/>
        </w:rPr>
        <w:t>accordance</w:t>
      </w:r>
      <w:r>
        <w:rPr>
          <w:rFonts w:ascii="Arial;Helvetica;sans-serif" w:hAnsi="Arial;Helvetica;sans-serif"/>
          <w:spacing w:val="-2"/>
          <w:sz w:val="19"/>
        </w:rPr>
        <w:t xml:space="preserve"> </w:t>
      </w:r>
      <w:r>
        <w:rPr>
          <w:rFonts w:ascii="Times New Roman;Times;serif" w:hAnsi="Times New Roman;Times;serif"/>
          <w:sz w:val="19"/>
        </w:rPr>
        <w:t>with</w:t>
      </w:r>
      <w:r>
        <w:rPr>
          <w:rFonts w:ascii="Arial;Helvetica;sans-serif" w:hAnsi="Arial;Helvetica;sans-serif"/>
          <w:spacing w:val="-2"/>
          <w:sz w:val="19"/>
        </w:rPr>
        <w:t xml:space="preserve"> </w:t>
      </w:r>
      <w:r>
        <w:rPr>
          <w:rFonts w:ascii="Times New Roman;Times;serif" w:hAnsi="Times New Roman;Times;serif"/>
          <w:sz w:val="19"/>
        </w:rPr>
        <w:t>this</w:t>
      </w:r>
      <w:r>
        <w:rPr>
          <w:rFonts w:ascii="Arial;Helvetica;sans-serif" w:hAnsi="Arial;Helvetica;sans-serif"/>
          <w:spacing w:val="-2"/>
          <w:sz w:val="19"/>
        </w:rPr>
        <w:t xml:space="preserve"> </w:t>
      </w:r>
      <w:r>
        <w:rPr>
          <w:rFonts w:ascii="Times New Roman;Times;serif" w:hAnsi="Times New Roman;Times;serif"/>
          <w:sz w:val="19"/>
        </w:rPr>
        <w:t>Contract,</w:t>
      </w:r>
      <w:r>
        <w:rPr>
          <w:rFonts w:ascii="Arial;Helvetica;sans-serif" w:hAnsi="Arial;Helvetica;sans-serif"/>
          <w:spacing w:val="-1"/>
          <w:sz w:val="19"/>
        </w:rPr>
        <w:t xml:space="preserve"> </w:t>
      </w:r>
      <w:r>
        <w:rPr>
          <w:rFonts w:ascii="Times New Roman;Times;serif" w:hAnsi="Times New Roman;Times;serif"/>
          <w:sz w:val="19"/>
        </w:rPr>
        <w:t>Seller</w:t>
      </w:r>
      <w:r>
        <w:rPr>
          <w:rFonts w:ascii="Arial;Helvetica;sans-serif" w:hAnsi="Arial;Helvetica;sans-serif"/>
          <w:spacing w:val="-1"/>
          <w:sz w:val="19"/>
        </w:rPr>
        <w:t xml:space="preserve"> </w:t>
      </w:r>
      <w:r>
        <w:rPr>
          <w:rFonts w:ascii="Times New Roman;Times;serif" w:hAnsi="Times New Roman;Times;serif"/>
          <w:sz w:val="19"/>
        </w:rPr>
        <w:t>may</w:t>
      </w:r>
      <w:r>
        <w:rPr>
          <w:rFonts w:ascii="Arial;Helvetica;sans-serif" w:hAnsi="Arial;Helvetica;sans-serif"/>
          <w:spacing w:val="-2"/>
          <w:sz w:val="19"/>
        </w:rPr>
        <w:t xml:space="preserve"> </w:t>
      </w:r>
      <w:r>
        <w:rPr>
          <w:rFonts w:ascii="Times New Roman;Times;serif" w:hAnsi="Times New Roman;Times;serif"/>
          <w:sz w:val="19"/>
        </w:rPr>
        <w:t>suspend</w:t>
      </w:r>
      <w:r>
        <w:rPr>
          <w:rFonts w:ascii="Arial;Helvetica;sans-serif" w:hAnsi="Arial;Helvetica;sans-serif"/>
          <w:spacing w:val="-2"/>
          <w:sz w:val="19"/>
        </w:rPr>
        <w:t xml:space="preserve"> </w:t>
      </w:r>
      <w:r>
        <w:rPr>
          <w:rFonts w:ascii="Times New Roman;Times;serif" w:hAnsi="Times New Roman;Times;serif"/>
          <w:sz w:val="19"/>
        </w:rPr>
        <w:t>preparation</w:t>
      </w:r>
      <w:r>
        <w:rPr>
          <w:rFonts w:ascii="Arial;Helvetica;sans-serif" w:hAnsi="Arial;Helvetica;sans-serif"/>
          <w:spacing w:val="-2"/>
          <w:sz w:val="19"/>
        </w:rPr>
        <w:t xml:space="preserve"> </w:t>
      </w:r>
      <w:r>
        <w:rPr>
          <w:rFonts w:ascii="Times New Roman;Times;serif" w:hAnsi="Times New Roman;Times;serif"/>
          <w:sz w:val="19"/>
        </w:rPr>
        <w:t>or</w:t>
      </w:r>
      <w:r>
        <w:rPr>
          <w:rFonts w:ascii="Arial;Helvetica;sans-serif" w:hAnsi="Arial;Helvetica;sans-serif"/>
          <w:spacing w:val="-3"/>
          <w:sz w:val="19"/>
        </w:rPr>
        <w:t xml:space="preserve"> </w:t>
      </w:r>
      <w:r>
        <w:rPr>
          <w:rFonts w:ascii="Times New Roman;Times;serif" w:hAnsi="Times New Roman;Times;serif"/>
          <w:sz w:val="19"/>
        </w:rPr>
        <w:t>delivery of</w:t>
      </w:r>
      <w:r>
        <w:rPr>
          <w:rFonts w:ascii="Arial;Helvetica;sans-serif" w:hAnsi="Arial;Helvetica;sans-serif"/>
          <w:spacing w:val="-1"/>
          <w:sz w:val="19"/>
        </w:rPr>
        <w:t xml:space="preserve"> </w:t>
      </w:r>
      <w:r>
        <w:rPr>
          <w:rFonts w:ascii="Times New Roman;Times;serif" w:hAnsi="Times New Roman;Times;serif"/>
          <w:sz w:val="19"/>
        </w:rPr>
        <w:t>the</w:t>
      </w:r>
      <w:r>
        <w:rPr>
          <w:rFonts w:ascii="Arial;Helvetica;sans-serif" w:hAnsi="Arial;Helvetica;sans-serif"/>
          <w:spacing w:val="-5"/>
          <w:sz w:val="19"/>
        </w:rPr>
        <w:t xml:space="preserve"> </w:t>
      </w:r>
      <w:r>
        <w:rPr>
          <w:rFonts w:ascii="Times New Roman;Times;serif" w:hAnsi="Times New Roman;Times;serif"/>
          <w:sz w:val="19"/>
        </w:rPr>
        <w:t>Goods</w:t>
      </w:r>
      <w:r>
        <w:rPr>
          <w:rFonts w:ascii="Arial;Helvetica;sans-serif" w:hAnsi="Arial;Helvetica;sans-serif"/>
          <w:spacing w:val="-2"/>
          <w:sz w:val="19"/>
        </w:rPr>
        <w:t xml:space="preserve"> </w:t>
      </w:r>
      <w:r>
        <w:rPr>
          <w:rFonts w:ascii="Times New Roman;Times;serif" w:hAnsi="Times New Roman;Times;serif"/>
          <w:sz w:val="19"/>
        </w:rPr>
        <w:t>and</w:t>
      </w:r>
      <w:r>
        <w:rPr>
          <w:rFonts w:ascii="Arial;Helvetica;sans-serif" w:hAnsi="Arial;Helvetica;sans-serif"/>
          <w:spacing w:val="-3"/>
          <w:sz w:val="19"/>
        </w:rPr>
        <w:t xml:space="preserve"> </w:t>
      </w:r>
      <w:r>
        <w:rPr>
          <w:rFonts w:ascii="Times New Roman;Times;serif" w:hAnsi="Times New Roman;Times;serif"/>
          <w:sz w:val="19"/>
        </w:rPr>
        <w:t>may</w:t>
      </w:r>
      <w:r>
        <w:rPr>
          <w:rFonts w:ascii="Arial;Helvetica;sans-serif" w:hAnsi="Arial;Helvetica;sans-serif"/>
          <w:spacing w:val="-4"/>
          <w:sz w:val="19"/>
        </w:rPr>
        <w:t xml:space="preserve"> </w:t>
      </w:r>
      <w:r>
        <w:rPr>
          <w:rFonts w:ascii="Times New Roman;Times;serif" w:hAnsi="Times New Roman;Times;serif"/>
          <w:sz w:val="19"/>
        </w:rPr>
        <w:t>terminate</w:t>
      </w:r>
      <w:r>
        <w:rPr>
          <w:rFonts w:ascii="Arial;Helvetica;sans-serif" w:hAnsi="Arial;Helvetica;sans-serif"/>
          <w:spacing w:val="-3"/>
          <w:sz w:val="19"/>
        </w:rPr>
        <w:t xml:space="preserve"> </w:t>
      </w:r>
      <w:r>
        <w:rPr>
          <w:rFonts w:ascii="Times New Roman;Times;serif" w:hAnsi="Times New Roman;Times;serif"/>
          <w:sz w:val="19"/>
        </w:rPr>
        <w:t>this</w:t>
      </w:r>
      <w:r>
        <w:rPr>
          <w:rFonts w:ascii="Arial;Helvetica;sans-serif" w:hAnsi="Arial;Helvetica;sans-serif"/>
          <w:spacing w:val="-3"/>
          <w:sz w:val="19"/>
        </w:rPr>
        <w:t xml:space="preserve"> </w:t>
      </w:r>
      <w:r>
        <w:rPr>
          <w:rFonts w:ascii="Times New Roman;Times;serif" w:hAnsi="Times New Roman;Times;serif"/>
          <w:sz w:val="19"/>
        </w:rPr>
        <w:t>Contract</w:t>
      </w:r>
      <w:r>
        <w:rPr>
          <w:rFonts w:ascii="Arial;Helvetica;sans-serif" w:hAnsi="Arial;Helvetica;sans-serif"/>
          <w:spacing w:val="-3"/>
          <w:sz w:val="19"/>
        </w:rPr>
        <w:t xml:space="preserve"> </w:t>
      </w:r>
      <w:r>
        <w:rPr>
          <w:rFonts w:ascii="Times New Roman;Times;serif" w:hAnsi="Times New Roman;Times;serif"/>
          <w:sz w:val="19"/>
        </w:rPr>
        <w:t>upon</w:t>
      </w:r>
      <w:r>
        <w:rPr>
          <w:rFonts w:ascii="Arial;Helvetica;sans-serif" w:hAnsi="Arial;Helvetica;sans-serif"/>
          <w:spacing w:val="-3"/>
          <w:sz w:val="19"/>
        </w:rPr>
        <w:t xml:space="preserve"> </w:t>
      </w:r>
      <w:r>
        <w:rPr>
          <w:rFonts w:ascii="Times New Roman;Times;serif" w:hAnsi="Times New Roman;Times;serif"/>
          <w:sz w:val="19"/>
        </w:rPr>
        <w:t>written</w:t>
      </w:r>
      <w:r>
        <w:rPr>
          <w:rFonts w:ascii="Arial;Helvetica;sans-serif" w:hAnsi="Arial;Helvetica;sans-serif"/>
          <w:spacing w:val="-3"/>
          <w:sz w:val="19"/>
        </w:rPr>
        <w:t xml:space="preserve"> </w:t>
      </w:r>
      <w:r>
        <w:rPr>
          <w:rFonts w:ascii="Times New Roman;Times;serif" w:hAnsi="Times New Roman;Times;serif"/>
          <w:sz w:val="19"/>
        </w:rPr>
        <w:t>notice</w:t>
      </w:r>
      <w:r>
        <w:rPr>
          <w:rFonts w:ascii="Arial;Helvetica;sans-serif" w:hAnsi="Arial;Helvetica;sans-serif"/>
          <w:spacing w:val="-2"/>
          <w:sz w:val="19"/>
        </w:rPr>
        <w:t xml:space="preserve"> </w:t>
      </w:r>
      <w:r>
        <w:rPr>
          <w:rFonts w:ascii="Times New Roman;Times;serif" w:hAnsi="Times New Roman;Times;serif"/>
          <w:sz w:val="19"/>
        </w:rPr>
        <w:t>to</w:t>
      </w:r>
      <w:r>
        <w:rPr>
          <w:rFonts w:ascii="Arial;Helvetica;sans-serif" w:hAnsi="Arial;Helvetica;sans-serif"/>
          <w:spacing w:val="-3"/>
          <w:sz w:val="19"/>
        </w:rPr>
        <w:t xml:space="preserve"> </w:t>
      </w:r>
      <w:r>
        <w:rPr>
          <w:rFonts w:ascii="Times New Roman;Times;serif" w:hAnsi="Times New Roman;Times;serif"/>
          <w:sz w:val="19"/>
        </w:rPr>
        <w:t>Buyer.</w:t>
      </w:r>
      <w:r>
        <w:rPr>
          <w:rFonts w:ascii="Arial;Helvetica;sans-serif" w:hAnsi="Arial;Helvetica;sans-serif"/>
          <w:spacing w:val="-3"/>
          <w:sz w:val="19"/>
        </w:rPr>
        <w:t xml:space="preserve"> </w:t>
      </w:r>
      <w:r>
        <w:rPr>
          <w:rFonts w:ascii="Times New Roman;Times;serif" w:hAnsi="Times New Roman;Times;serif"/>
          <w:sz w:val="19"/>
        </w:rPr>
        <w:t>Unless</w:t>
      </w:r>
      <w:r>
        <w:rPr>
          <w:rFonts w:ascii="Arial;Helvetica;sans-serif" w:hAnsi="Arial;Helvetica;sans-serif"/>
          <w:spacing w:val="-2"/>
          <w:sz w:val="19"/>
        </w:rPr>
        <w:t xml:space="preserve"> </w:t>
      </w:r>
      <w:r>
        <w:rPr>
          <w:rFonts w:ascii="Times New Roman;Times;serif" w:hAnsi="Times New Roman;Times;serif"/>
          <w:sz w:val="19"/>
        </w:rPr>
        <w:t>Seller</w:t>
      </w:r>
      <w:r>
        <w:rPr>
          <w:rFonts w:ascii="Arial;Helvetica;sans-serif" w:hAnsi="Arial;Helvetica;sans-serif"/>
          <w:spacing w:val="-1"/>
          <w:sz w:val="19"/>
        </w:rPr>
        <w:t xml:space="preserve"> </w:t>
      </w:r>
      <w:r>
        <w:rPr>
          <w:rFonts w:ascii="Times New Roman;Times;serif" w:hAnsi="Times New Roman;Times;serif"/>
          <w:sz w:val="19"/>
        </w:rPr>
        <w:t>otherwise</w:t>
      </w:r>
      <w:r>
        <w:rPr>
          <w:rFonts w:ascii="Arial;Helvetica;sans-serif" w:hAnsi="Arial;Helvetica;sans-serif"/>
          <w:spacing w:val="-2"/>
          <w:sz w:val="19"/>
        </w:rPr>
        <w:t xml:space="preserve"> </w:t>
      </w:r>
      <w:r>
        <w:rPr>
          <w:rFonts w:ascii="Times New Roman;Times;serif" w:hAnsi="Times New Roman;Times;serif"/>
          <w:sz w:val="19"/>
        </w:rPr>
        <w:t>confirms</w:t>
      </w:r>
      <w:r>
        <w:rPr>
          <w:rFonts w:ascii="Arial;Helvetica;sans-serif" w:hAnsi="Arial;Helvetica;sans-serif"/>
          <w:spacing w:val="-3"/>
          <w:sz w:val="19"/>
        </w:rPr>
        <w:t xml:space="preserve"> </w:t>
      </w:r>
      <w:r>
        <w:rPr>
          <w:rFonts w:ascii="Times New Roman;Times;serif" w:hAnsi="Times New Roman;Times;serif"/>
          <w:sz w:val="19"/>
        </w:rPr>
        <w:t>in</w:t>
      </w:r>
      <w:r>
        <w:rPr>
          <w:rFonts w:ascii="Arial;Helvetica;sans-serif" w:hAnsi="Arial;Helvetica;sans-serif"/>
          <w:spacing w:val="-2"/>
          <w:sz w:val="19"/>
        </w:rPr>
        <w:t xml:space="preserve"> </w:t>
      </w:r>
      <w:r>
        <w:rPr>
          <w:rFonts w:ascii="Times New Roman;Times;serif" w:hAnsi="Times New Roman;Times;serif"/>
          <w:sz w:val="19"/>
        </w:rPr>
        <w:t>writing, the Goods shall not be deemed reserved for Buyer prior to Seller’s receipt of the full Contract Price.</w:t>
      </w:r>
    </w:p>
    <w:tbl>
      <w:tblPr>
        <w:tblW w:w="2113" w:type="dxa"/>
        <w:jc w:val="left"/>
        <w:tblInd w:w="0" w:type="dxa"/>
        <w:tblLayout w:type="fixed"/>
        <w:tblCellMar>
          <w:top w:w="0" w:type="dxa"/>
          <w:left w:w="0" w:type="dxa"/>
          <w:bottom w:w="0" w:type="dxa"/>
          <w:right w:w="0" w:type="dxa"/>
        </w:tblCellMar>
      </w:tblPr>
      <w:tblGrid>
        <w:gridCol w:w="290"/>
        <w:gridCol w:w="1823"/>
      </w:tblGrid>
      <w:tr>
        <w:trPr/>
        <w:tc>
          <w:tcPr>
            <w:tcW w:w="290" w:type="dxa"/>
            <w:tcBorders/>
            <w:vAlign w:val="center"/>
          </w:tcPr>
          <w:p>
            <w:pPr>
              <w:pStyle w:val="TableContents"/>
              <w:bidi w:val="0"/>
              <w:spacing w:before="0" w:after="283"/>
              <w:jc w:val="left"/>
              <w:rPr>
                <w:rFonts w:ascii="Times New Roman;Times;serif" w:hAnsi="Times New Roman;Times;serif"/>
                <w:b/>
                <w:sz w:val="21"/>
              </w:rPr>
            </w:pPr>
            <w:r>
              <w:rPr>
                <w:rFonts w:ascii="Times New Roman;Times;serif" w:hAnsi="Times New Roman;Times;serif"/>
                <w:b/>
                <w:sz w:val="21"/>
              </w:rPr>
              <w:t>10.</w:t>
            </w:r>
          </w:p>
        </w:tc>
        <w:tc>
          <w:tcPr>
            <w:tcW w:w="1823"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1"/>
              </w:rPr>
              <w:t>FORCE</w:t>
            </w:r>
            <w:r>
              <w:rPr>
                <w:caps w:val="false"/>
                <w:smallCaps w:val="false"/>
                <w:spacing w:val="-6"/>
              </w:rPr>
              <w:t xml:space="preserve"> </w:t>
            </w:r>
            <w:r>
              <w:rPr>
                <w:rFonts w:ascii="Times New Roman;Times;serif" w:hAnsi="Times New Roman;Times;serif"/>
                <w:b/>
                <w:i w:val="false"/>
                <w:caps w:val="false"/>
                <w:smallCaps w:val="false"/>
                <w:spacing w:val="-2"/>
                <w:sz w:val="21"/>
              </w:rPr>
              <w:t>MAJEURE</w:t>
            </w:r>
          </w:p>
        </w:tc>
      </w:tr>
    </w:tbl>
    <w:p>
      <w:pPr>
        <w:pStyle w:val="TextBody"/>
        <w:bidi w:val="0"/>
        <w:spacing w:lineRule="auto" w:line="307" w:before="94" w:after="0"/>
        <w:ind w:left="0" w:right="461" w:hanging="0"/>
        <w:jc w:val="left"/>
        <w:rPr>
          <w:rFonts w:ascii="Arial;Helvetica;sans-serif" w:hAnsi="Arial;Helvetica;sans-serif"/>
          <w:sz w:val="19"/>
        </w:rPr>
      </w:pPr>
      <w:r>
        <w:rPr>
          <w:rFonts w:ascii="Times New Roman;Times;serif" w:hAnsi="Times New Roman;Times;serif"/>
          <w:sz w:val="19"/>
        </w:rPr>
        <w:t>Neither</w:t>
      </w:r>
      <w:r>
        <w:rPr>
          <w:rFonts w:ascii="Arial;Helvetica;sans-serif" w:hAnsi="Arial;Helvetica;sans-serif"/>
          <w:spacing w:val="-1"/>
          <w:sz w:val="19"/>
        </w:rPr>
        <w:t xml:space="preserve"> </w:t>
      </w:r>
      <w:r>
        <w:rPr>
          <w:rFonts w:ascii="Times New Roman;Times;serif" w:hAnsi="Times New Roman;Times;serif"/>
          <w:sz w:val="19"/>
        </w:rPr>
        <w:t>Party</w:t>
      </w:r>
      <w:r>
        <w:rPr>
          <w:rFonts w:ascii="Arial;Helvetica;sans-serif" w:hAnsi="Arial;Helvetica;sans-serif"/>
          <w:spacing w:val="-2"/>
          <w:sz w:val="19"/>
        </w:rPr>
        <w:t xml:space="preserve"> </w:t>
      </w:r>
      <w:r>
        <w:rPr>
          <w:rFonts w:ascii="Times New Roman;Times;serif" w:hAnsi="Times New Roman;Times;serif"/>
          <w:sz w:val="19"/>
        </w:rPr>
        <w:t>shall</w:t>
      </w:r>
      <w:r>
        <w:rPr>
          <w:rFonts w:ascii="Arial;Helvetica;sans-serif" w:hAnsi="Arial;Helvetica;sans-serif"/>
          <w:spacing w:val="-3"/>
          <w:sz w:val="19"/>
        </w:rPr>
        <w:t xml:space="preserve"> </w:t>
      </w:r>
      <w:r>
        <w:rPr>
          <w:rFonts w:ascii="Times New Roman;Times;serif" w:hAnsi="Times New Roman;Times;serif"/>
          <w:sz w:val="19"/>
        </w:rPr>
        <w:t>be</w:t>
      </w:r>
      <w:r>
        <w:rPr>
          <w:rFonts w:ascii="Arial;Helvetica;sans-serif" w:hAnsi="Arial;Helvetica;sans-serif"/>
          <w:spacing w:val="-2"/>
          <w:sz w:val="19"/>
        </w:rPr>
        <w:t xml:space="preserve"> </w:t>
      </w:r>
      <w:r>
        <w:rPr>
          <w:rFonts w:ascii="Times New Roman;Times;serif" w:hAnsi="Times New Roman;Times;serif"/>
          <w:sz w:val="19"/>
        </w:rPr>
        <w:t>liable</w:t>
      </w:r>
      <w:r>
        <w:rPr>
          <w:rFonts w:ascii="Arial;Helvetica;sans-serif" w:hAnsi="Arial;Helvetica;sans-serif"/>
          <w:spacing w:val="-2"/>
          <w:sz w:val="19"/>
        </w:rPr>
        <w:t xml:space="preserve"> </w:t>
      </w:r>
      <w:r>
        <w:rPr>
          <w:rFonts w:ascii="Times New Roman;Times;serif" w:hAnsi="Times New Roman;Times;serif"/>
          <w:sz w:val="19"/>
        </w:rPr>
        <w:t>for</w:t>
      </w:r>
      <w:r>
        <w:rPr>
          <w:rFonts w:ascii="Arial;Helvetica;sans-serif" w:hAnsi="Arial;Helvetica;sans-serif"/>
          <w:spacing w:val="-1"/>
          <w:sz w:val="19"/>
        </w:rPr>
        <w:t xml:space="preserve"> </w:t>
      </w:r>
      <w:r>
        <w:rPr>
          <w:rFonts w:ascii="Times New Roman;Times;serif" w:hAnsi="Times New Roman;Times;serif"/>
          <w:sz w:val="19"/>
        </w:rPr>
        <w:t>any</w:t>
      </w:r>
      <w:r>
        <w:rPr>
          <w:rFonts w:ascii="Arial;Helvetica;sans-serif" w:hAnsi="Arial;Helvetica;sans-serif"/>
          <w:spacing w:val="-5"/>
          <w:sz w:val="19"/>
        </w:rPr>
        <w:t xml:space="preserve"> </w:t>
      </w:r>
      <w:r>
        <w:rPr>
          <w:rFonts w:ascii="Times New Roman;Times;serif" w:hAnsi="Times New Roman;Times;serif"/>
          <w:sz w:val="19"/>
        </w:rPr>
        <w:t>failure</w:t>
      </w:r>
      <w:r>
        <w:rPr>
          <w:rFonts w:ascii="Arial;Helvetica;sans-serif" w:hAnsi="Arial;Helvetica;sans-serif"/>
          <w:spacing w:val="-2"/>
          <w:sz w:val="19"/>
        </w:rPr>
        <w:t xml:space="preserve"> </w:t>
      </w:r>
      <w:r>
        <w:rPr>
          <w:rFonts w:ascii="Times New Roman;Times;serif" w:hAnsi="Times New Roman;Times;serif"/>
          <w:sz w:val="19"/>
        </w:rPr>
        <w:t>or</w:t>
      </w:r>
      <w:r>
        <w:rPr>
          <w:rFonts w:ascii="Arial;Helvetica;sans-serif" w:hAnsi="Arial;Helvetica;sans-serif"/>
          <w:spacing w:val="-1"/>
          <w:sz w:val="19"/>
        </w:rPr>
        <w:t xml:space="preserve"> </w:t>
      </w:r>
      <w:r>
        <w:rPr>
          <w:rFonts w:ascii="Times New Roman;Times;serif" w:hAnsi="Times New Roman;Times;serif"/>
          <w:sz w:val="19"/>
        </w:rPr>
        <w:t>delay</w:t>
      </w:r>
      <w:r>
        <w:rPr>
          <w:rFonts w:ascii="Arial;Helvetica;sans-serif" w:hAnsi="Arial;Helvetica;sans-serif"/>
          <w:spacing w:val="-2"/>
          <w:sz w:val="19"/>
        </w:rPr>
        <w:t xml:space="preserve"> </w:t>
      </w:r>
      <w:r>
        <w:rPr>
          <w:rFonts w:ascii="Times New Roman;Times;serif" w:hAnsi="Times New Roman;Times;serif"/>
          <w:sz w:val="19"/>
        </w:rPr>
        <w:t>in</w:t>
      </w:r>
      <w:r>
        <w:rPr>
          <w:rFonts w:ascii="Arial;Helvetica;sans-serif" w:hAnsi="Arial;Helvetica;sans-serif"/>
          <w:spacing w:val="-2"/>
          <w:sz w:val="19"/>
        </w:rPr>
        <w:t xml:space="preserve"> </w:t>
      </w:r>
      <w:r>
        <w:rPr>
          <w:rFonts w:ascii="Times New Roman;Times;serif" w:hAnsi="Times New Roman;Times;serif"/>
          <w:sz w:val="19"/>
        </w:rPr>
        <w:t>performance</w:t>
      </w:r>
      <w:r>
        <w:rPr>
          <w:rFonts w:ascii="Arial;Helvetica;sans-serif" w:hAnsi="Arial;Helvetica;sans-serif"/>
          <w:spacing w:val="-2"/>
          <w:sz w:val="19"/>
        </w:rPr>
        <w:t xml:space="preserve"> </w:t>
      </w:r>
      <w:r>
        <w:rPr>
          <w:rFonts w:ascii="Times New Roman;Times;serif" w:hAnsi="Times New Roman;Times;serif"/>
          <w:sz w:val="19"/>
        </w:rPr>
        <w:t>to</w:t>
      </w:r>
      <w:r>
        <w:rPr>
          <w:rFonts w:ascii="Arial;Helvetica;sans-serif" w:hAnsi="Arial;Helvetica;sans-serif"/>
          <w:spacing w:val="-5"/>
          <w:sz w:val="19"/>
        </w:rPr>
        <w:t xml:space="preserve"> </w:t>
      </w:r>
      <w:r>
        <w:rPr>
          <w:rFonts w:ascii="Times New Roman;Times;serif" w:hAnsi="Times New Roman;Times;serif"/>
          <w:sz w:val="19"/>
        </w:rPr>
        <w:t>the</w:t>
      </w:r>
      <w:r>
        <w:rPr>
          <w:rFonts w:ascii="Arial;Helvetica;sans-serif" w:hAnsi="Arial;Helvetica;sans-serif"/>
          <w:spacing w:val="-2"/>
          <w:sz w:val="19"/>
        </w:rPr>
        <w:t xml:space="preserve"> </w:t>
      </w:r>
      <w:r>
        <w:rPr>
          <w:rFonts w:ascii="Times New Roman;Times;serif" w:hAnsi="Times New Roman;Times;serif"/>
          <w:sz w:val="19"/>
        </w:rPr>
        <w:t>extent</w:t>
      </w:r>
      <w:r>
        <w:rPr>
          <w:rFonts w:ascii="Arial;Helvetica;sans-serif" w:hAnsi="Arial;Helvetica;sans-serif"/>
          <w:spacing w:val="-3"/>
          <w:sz w:val="19"/>
        </w:rPr>
        <w:t xml:space="preserve"> </w:t>
      </w:r>
      <w:r>
        <w:rPr>
          <w:rFonts w:ascii="Times New Roman;Times;serif" w:hAnsi="Times New Roman;Times;serif"/>
          <w:sz w:val="19"/>
        </w:rPr>
        <w:t>caused</w:t>
      </w:r>
      <w:r>
        <w:rPr>
          <w:rFonts w:ascii="Arial;Helvetica;sans-serif" w:hAnsi="Arial;Helvetica;sans-serif"/>
          <w:spacing w:val="-2"/>
          <w:sz w:val="19"/>
        </w:rPr>
        <w:t xml:space="preserve"> </w:t>
      </w:r>
      <w:r>
        <w:rPr>
          <w:rFonts w:ascii="Times New Roman;Times;serif" w:hAnsi="Times New Roman;Times;serif"/>
          <w:sz w:val="19"/>
        </w:rPr>
        <w:t>by</w:t>
      </w:r>
      <w:r>
        <w:rPr>
          <w:rFonts w:ascii="Arial;Helvetica;sans-serif" w:hAnsi="Arial;Helvetica;sans-serif"/>
          <w:spacing w:val="-2"/>
          <w:sz w:val="19"/>
        </w:rPr>
        <w:t xml:space="preserve"> </w:t>
      </w:r>
      <w:r>
        <w:rPr>
          <w:rFonts w:ascii="Times New Roman;Times;serif" w:hAnsi="Times New Roman;Times;serif"/>
          <w:sz w:val="19"/>
        </w:rPr>
        <w:t>events</w:t>
      </w:r>
      <w:r>
        <w:rPr>
          <w:rFonts w:ascii="Arial;Helvetica;sans-serif" w:hAnsi="Arial;Helvetica;sans-serif"/>
          <w:spacing w:val="-2"/>
          <w:sz w:val="19"/>
        </w:rPr>
        <w:t xml:space="preserve"> </w:t>
      </w:r>
      <w:r>
        <w:rPr>
          <w:rFonts w:ascii="Times New Roman;Times;serif" w:hAnsi="Times New Roman;Times;serif"/>
          <w:sz w:val="19"/>
        </w:rPr>
        <w:t>beyond</w:t>
      </w:r>
      <w:r>
        <w:rPr>
          <w:rFonts w:ascii="Arial;Helvetica;sans-serif" w:hAnsi="Arial;Helvetica;sans-serif"/>
          <w:spacing w:val="-2"/>
          <w:sz w:val="19"/>
        </w:rPr>
        <w:t xml:space="preserve"> </w:t>
      </w:r>
      <w:r>
        <w:rPr>
          <w:rFonts w:ascii="Times New Roman;Times;serif" w:hAnsi="Times New Roman;Times;serif"/>
          <w:sz w:val="19"/>
        </w:rPr>
        <w:t>its reasonable control, including natural disasters, fire, flood, war, governmental</w:t>
      </w:r>
      <w:r>
        <w:rPr>
          <w:rFonts w:ascii="Arial;Helvetica;sans-serif" w:hAnsi="Arial;Helvetica;sans-serif"/>
          <w:spacing w:val="-1"/>
          <w:sz w:val="19"/>
        </w:rPr>
        <w:t xml:space="preserve"> </w:t>
      </w:r>
      <w:r>
        <w:rPr>
          <w:rFonts w:ascii="Times New Roman;Times;serif" w:hAnsi="Times New Roman;Times;serif"/>
          <w:sz w:val="19"/>
        </w:rPr>
        <w:t>action, embargo, strikes, major transportation disruptions or other events that could not reasonably have been foreseen or avoided.</w:t>
      </w:r>
    </w:p>
    <w:tbl>
      <w:tblPr>
        <w:tblW w:w="2160" w:type="dxa"/>
        <w:jc w:val="left"/>
        <w:tblInd w:w="0" w:type="dxa"/>
        <w:tblLayout w:type="fixed"/>
        <w:tblCellMar>
          <w:top w:w="0" w:type="dxa"/>
          <w:left w:w="0" w:type="dxa"/>
          <w:bottom w:w="0" w:type="dxa"/>
          <w:right w:w="0" w:type="dxa"/>
        </w:tblCellMar>
      </w:tblPr>
      <w:tblGrid>
        <w:gridCol w:w="290"/>
        <w:gridCol w:w="1870"/>
      </w:tblGrid>
      <w:tr>
        <w:trPr/>
        <w:tc>
          <w:tcPr>
            <w:tcW w:w="290" w:type="dxa"/>
            <w:tcBorders/>
            <w:vAlign w:val="center"/>
          </w:tcPr>
          <w:p>
            <w:pPr>
              <w:pStyle w:val="TableContents"/>
              <w:bidi w:val="0"/>
              <w:spacing w:before="0" w:after="283"/>
              <w:jc w:val="left"/>
              <w:rPr>
                <w:rFonts w:ascii="Times New Roman;Times;serif" w:hAnsi="Times New Roman;Times;serif"/>
                <w:b/>
                <w:sz w:val="21"/>
              </w:rPr>
            </w:pPr>
            <w:r>
              <w:rPr>
                <w:rFonts w:ascii="Times New Roman;Times;serif" w:hAnsi="Times New Roman;Times;serif"/>
                <w:b/>
                <w:sz w:val="21"/>
              </w:rPr>
              <w:t>11.</w:t>
            </w:r>
          </w:p>
        </w:tc>
        <w:tc>
          <w:tcPr>
            <w:tcW w:w="1870"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1"/>
              </w:rPr>
              <w:t>GOVERNING</w:t>
            </w:r>
            <w:r>
              <w:rPr>
                <w:caps w:val="false"/>
                <w:smallCaps w:val="false"/>
                <w:spacing w:val="-14"/>
              </w:rPr>
              <w:t xml:space="preserve"> </w:t>
            </w:r>
            <w:r>
              <w:rPr>
                <w:rFonts w:ascii="Times New Roman;Times;serif" w:hAnsi="Times New Roman;Times;serif"/>
                <w:b/>
                <w:i w:val="false"/>
                <w:caps w:val="false"/>
                <w:smallCaps w:val="false"/>
                <w:spacing w:val="-5"/>
                <w:sz w:val="21"/>
              </w:rPr>
              <w:t>LAW</w:t>
            </w:r>
          </w:p>
        </w:tc>
      </w:tr>
    </w:tbl>
    <w:p>
      <w:pPr>
        <w:pStyle w:val="TextBody"/>
        <w:bidi w:val="0"/>
        <w:spacing w:lineRule="auto" w:line="307" w:before="94" w:after="0"/>
        <w:ind w:left="0" w:right="461" w:hanging="0"/>
        <w:jc w:val="left"/>
        <w:rPr>
          <w:rFonts w:ascii="Arial;Helvetica;sans-serif" w:hAnsi="Arial;Helvetica;sans-serif"/>
          <w:sz w:val="19"/>
        </w:rPr>
      </w:pPr>
      <w:r>
        <w:rPr>
          <w:rFonts w:ascii="Times New Roman;Times;serif" w:hAnsi="Times New Roman;Times;serif"/>
          <w:sz w:val="19"/>
        </w:rPr>
        <w:t>This</w:t>
      </w:r>
      <w:r>
        <w:rPr>
          <w:rFonts w:ascii="Arial;Helvetica;sans-serif" w:hAnsi="Arial;Helvetica;sans-serif"/>
          <w:spacing w:val="-6"/>
          <w:sz w:val="19"/>
        </w:rPr>
        <w:t xml:space="preserve"> </w:t>
      </w:r>
      <w:r>
        <w:rPr>
          <w:rFonts w:ascii="Times New Roman;Times;serif" w:hAnsi="Times New Roman;Times;serif"/>
          <w:sz w:val="19"/>
        </w:rPr>
        <w:t>Contract</w:t>
      </w:r>
      <w:r>
        <w:rPr>
          <w:rFonts w:ascii="Arial;Helvetica;sans-serif" w:hAnsi="Arial;Helvetica;sans-serif"/>
          <w:spacing w:val="-3"/>
          <w:sz w:val="19"/>
        </w:rPr>
        <w:t xml:space="preserve"> </w:t>
      </w:r>
      <w:r>
        <w:rPr>
          <w:rFonts w:ascii="Times New Roman;Times;serif" w:hAnsi="Times New Roman;Times;serif"/>
          <w:sz w:val="19"/>
        </w:rPr>
        <w:t>and</w:t>
      </w:r>
      <w:r>
        <w:rPr>
          <w:rFonts w:ascii="Arial;Helvetica;sans-serif" w:hAnsi="Arial;Helvetica;sans-serif"/>
          <w:spacing w:val="-6"/>
          <w:sz w:val="19"/>
        </w:rPr>
        <w:t xml:space="preserve"> </w:t>
      </w:r>
      <w:r>
        <w:rPr>
          <w:rFonts w:ascii="Times New Roman;Times;serif" w:hAnsi="Times New Roman;Times;serif"/>
          <w:sz w:val="19"/>
        </w:rPr>
        <w:t>any</w:t>
      </w:r>
      <w:r>
        <w:rPr>
          <w:rFonts w:ascii="Arial;Helvetica;sans-serif" w:hAnsi="Arial;Helvetica;sans-serif"/>
          <w:spacing w:val="-6"/>
          <w:sz w:val="19"/>
        </w:rPr>
        <w:t xml:space="preserve"> </w:t>
      </w:r>
      <w:r>
        <w:rPr>
          <w:rFonts w:ascii="Times New Roman;Times;serif" w:hAnsi="Times New Roman;Times;serif"/>
          <w:sz w:val="19"/>
        </w:rPr>
        <w:t>non-contractual</w:t>
      </w:r>
      <w:r>
        <w:rPr>
          <w:rFonts w:ascii="Arial;Helvetica;sans-serif" w:hAnsi="Arial;Helvetica;sans-serif"/>
          <w:spacing w:val="-8"/>
          <w:sz w:val="19"/>
        </w:rPr>
        <w:t xml:space="preserve"> </w:t>
      </w:r>
      <w:r>
        <w:rPr>
          <w:rFonts w:ascii="Times New Roman;Times;serif" w:hAnsi="Times New Roman;Times;serif"/>
          <w:sz w:val="19"/>
        </w:rPr>
        <w:t>obligations</w:t>
      </w:r>
      <w:r>
        <w:rPr>
          <w:rFonts w:ascii="Arial;Helvetica;sans-serif" w:hAnsi="Arial;Helvetica;sans-serif"/>
          <w:spacing w:val="-5"/>
          <w:sz w:val="19"/>
        </w:rPr>
        <w:t xml:space="preserve"> </w:t>
      </w:r>
      <w:r>
        <w:rPr>
          <w:rFonts w:ascii="Times New Roman;Times;serif" w:hAnsi="Times New Roman;Times;serif"/>
          <w:sz w:val="19"/>
        </w:rPr>
        <w:t>arising</w:t>
      </w:r>
      <w:r>
        <w:rPr>
          <w:rFonts w:ascii="Arial;Helvetica;sans-serif" w:hAnsi="Arial;Helvetica;sans-serif"/>
          <w:spacing w:val="-5"/>
          <w:sz w:val="19"/>
        </w:rPr>
        <w:t xml:space="preserve"> </w:t>
      </w:r>
      <w:r>
        <w:rPr>
          <w:rFonts w:ascii="Times New Roman;Times;serif" w:hAnsi="Times New Roman;Times;serif"/>
          <w:sz w:val="19"/>
        </w:rPr>
        <w:t>out</w:t>
      </w:r>
      <w:r>
        <w:rPr>
          <w:rFonts w:ascii="Arial;Helvetica;sans-serif" w:hAnsi="Arial;Helvetica;sans-serif"/>
          <w:spacing w:val="-3"/>
          <w:sz w:val="19"/>
        </w:rPr>
        <w:t xml:space="preserve"> </w:t>
      </w:r>
      <w:r>
        <w:rPr>
          <w:rFonts w:ascii="Times New Roman;Times;serif" w:hAnsi="Times New Roman;Times;serif"/>
          <w:sz w:val="19"/>
        </w:rPr>
        <w:t>of</w:t>
      </w:r>
      <w:r>
        <w:rPr>
          <w:rFonts w:ascii="Arial;Helvetica;sans-serif" w:hAnsi="Arial;Helvetica;sans-serif"/>
          <w:spacing w:val="-3"/>
          <w:sz w:val="19"/>
        </w:rPr>
        <w:t xml:space="preserve"> </w:t>
      </w:r>
      <w:r>
        <w:rPr>
          <w:rFonts w:ascii="Times New Roman;Times;serif" w:hAnsi="Times New Roman;Times;serif"/>
          <w:sz w:val="19"/>
        </w:rPr>
        <w:t>or</w:t>
      </w:r>
      <w:r>
        <w:rPr>
          <w:rFonts w:ascii="Arial;Helvetica;sans-serif" w:hAnsi="Arial;Helvetica;sans-serif"/>
          <w:spacing w:val="-8"/>
          <w:sz w:val="19"/>
        </w:rPr>
        <w:t xml:space="preserve"> </w:t>
      </w:r>
      <w:r>
        <w:rPr>
          <w:rFonts w:ascii="Times New Roman;Times;serif" w:hAnsi="Times New Roman;Times;serif"/>
          <w:sz w:val="19"/>
        </w:rPr>
        <w:t>in</w:t>
      </w:r>
      <w:r>
        <w:rPr>
          <w:rFonts w:ascii="Arial;Helvetica;sans-serif" w:hAnsi="Arial;Helvetica;sans-serif"/>
          <w:spacing w:val="-6"/>
          <w:sz w:val="19"/>
        </w:rPr>
        <w:t xml:space="preserve"> </w:t>
      </w:r>
      <w:r>
        <w:rPr>
          <w:rFonts w:ascii="Times New Roman;Times;serif" w:hAnsi="Times New Roman;Times;serif"/>
          <w:sz w:val="19"/>
        </w:rPr>
        <w:t>connection</w:t>
      </w:r>
      <w:r>
        <w:rPr>
          <w:rFonts w:ascii="Arial;Helvetica;sans-serif" w:hAnsi="Arial;Helvetica;sans-serif"/>
          <w:spacing w:val="-6"/>
          <w:sz w:val="19"/>
        </w:rPr>
        <w:t xml:space="preserve"> </w:t>
      </w:r>
      <w:r>
        <w:rPr>
          <w:rFonts w:ascii="Times New Roman;Times;serif" w:hAnsi="Times New Roman;Times;serif"/>
          <w:sz w:val="19"/>
        </w:rPr>
        <w:t>with</w:t>
      </w:r>
      <w:r>
        <w:rPr>
          <w:rFonts w:ascii="Arial;Helvetica;sans-serif" w:hAnsi="Arial;Helvetica;sans-serif"/>
          <w:spacing w:val="-6"/>
          <w:sz w:val="19"/>
        </w:rPr>
        <w:t xml:space="preserve"> </w:t>
      </w:r>
      <w:r>
        <w:rPr>
          <w:rFonts w:ascii="Times New Roman;Times;serif" w:hAnsi="Times New Roman;Times;serif"/>
          <w:sz w:val="19"/>
        </w:rPr>
        <w:t>it</w:t>
      </w:r>
      <w:r>
        <w:rPr>
          <w:rFonts w:ascii="Arial;Helvetica;sans-serif" w:hAnsi="Arial;Helvetica;sans-serif"/>
          <w:spacing w:val="-3"/>
          <w:sz w:val="19"/>
        </w:rPr>
        <w:t xml:space="preserve"> </w:t>
      </w:r>
      <w:r>
        <w:rPr>
          <w:rFonts w:ascii="Times New Roman;Times;serif" w:hAnsi="Times New Roman;Times;serif"/>
          <w:sz w:val="19"/>
        </w:rPr>
        <w:t>shall</w:t>
      </w:r>
      <w:r>
        <w:rPr>
          <w:rFonts w:ascii="Arial;Helvetica;sans-serif" w:hAnsi="Arial;Helvetica;sans-serif"/>
          <w:spacing w:val="-7"/>
          <w:sz w:val="19"/>
        </w:rPr>
        <w:t xml:space="preserve"> </w:t>
      </w:r>
      <w:r>
        <w:rPr>
          <w:rFonts w:ascii="Times New Roman;Times;serif" w:hAnsi="Times New Roman;Times;serif"/>
          <w:sz w:val="19"/>
        </w:rPr>
        <w:t>be</w:t>
      </w:r>
      <w:r>
        <w:rPr>
          <w:rFonts w:ascii="Arial;Helvetica;sans-serif" w:hAnsi="Arial;Helvetica;sans-serif"/>
          <w:spacing w:val="-6"/>
          <w:sz w:val="19"/>
        </w:rPr>
        <w:t xml:space="preserve"> </w:t>
      </w:r>
      <w:r>
        <w:rPr>
          <w:rFonts w:ascii="Times New Roman;Times;serif" w:hAnsi="Times New Roman;Times;serif"/>
          <w:sz w:val="19"/>
        </w:rPr>
        <w:t>governed</w:t>
      </w:r>
      <w:r>
        <w:rPr>
          <w:rFonts w:ascii="Arial;Helvetica;sans-serif" w:hAnsi="Arial;Helvetica;sans-serif"/>
          <w:spacing w:val="-6"/>
          <w:sz w:val="19"/>
        </w:rPr>
        <w:t xml:space="preserve"> </w:t>
      </w:r>
      <w:r>
        <w:rPr>
          <w:rFonts w:ascii="Times New Roman;Times;serif" w:hAnsi="Times New Roman;Times;serif"/>
          <w:sz w:val="19"/>
        </w:rPr>
        <w:t>by</w:t>
      </w:r>
      <w:r>
        <w:rPr>
          <w:rFonts w:ascii="Arial;Helvetica;sans-serif" w:hAnsi="Arial;Helvetica;sans-serif"/>
          <w:spacing w:val="-6"/>
          <w:sz w:val="19"/>
        </w:rPr>
        <w:t xml:space="preserve"> </w:t>
      </w:r>
      <w:r>
        <w:rPr>
          <w:rFonts w:ascii="Times New Roman;Times;serif" w:hAnsi="Times New Roman;Times;serif"/>
          <w:sz w:val="19"/>
        </w:rPr>
        <w:t>and construed in accordance with the laws of the State of California, without regard to its conflict-of-laws principles.</w:t>
      </w:r>
    </w:p>
    <w:tbl>
      <w:tblPr>
        <w:tblW w:w="2632" w:type="dxa"/>
        <w:jc w:val="left"/>
        <w:tblInd w:w="0" w:type="dxa"/>
        <w:tblLayout w:type="fixed"/>
        <w:tblCellMar>
          <w:top w:w="0" w:type="dxa"/>
          <w:left w:w="0" w:type="dxa"/>
          <w:bottom w:w="0" w:type="dxa"/>
          <w:right w:w="0" w:type="dxa"/>
        </w:tblCellMar>
      </w:tblPr>
      <w:tblGrid>
        <w:gridCol w:w="290"/>
        <w:gridCol w:w="2342"/>
      </w:tblGrid>
      <w:tr>
        <w:trPr/>
        <w:tc>
          <w:tcPr>
            <w:tcW w:w="290" w:type="dxa"/>
            <w:tcBorders/>
            <w:vAlign w:val="center"/>
          </w:tcPr>
          <w:p>
            <w:pPr>
              <w:pStyle w:val="TableContents"/>
              <w:bidi w:val="0"/>
              <w:spacing w:before="0" w:after="283"/>
              <w:jc w:val="left"/>
              <w:rPr>
                <w:rFonts w:ascii="Times New Roman;Times;serif" w:hAnsi="Times New Roman;Times;serif"/>
                <w:b/>
                <w:sz w:val="21"/>
              </w:rPr>
            </w:pPr>
            <w:r>
              <w:rPr>
                <w:rFonts w:ascii="Times New Roman;Times;serif" w:hAnsi="Times New Roman;Times;serif"/>
                <w:b/>
                <w:sz w:val="21"/>
              </w:rPr>
              <w:t>12.</w:t>
            </w:r>
          </w:p>
        </w:tc>
        <w:tc>
          <w:tcPr>
            <w:tcW w:w="2342"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1"/>
              </w:rPr>
              <w:t>DISPUTE</w:t>
            </w:r>
            <w:r>
              <w:rPr>
                <w:caps w:val="false"/>
                <w:smallCaps w:val="false"/>
                <w:spacing w:val="-10"/>
              </w:rPr>
              <w:t xml:space="preserve"> </w:t>
            </w:r>
            <w:r>
              <w:rPr>
                <w:rFonts w:ascii="Times New Roman;Times;serif" w:hAnsi="Times New Roman;Times;serif"/>
                <w:b/>
                <w:i w:val="false"/>
                <w:caps w:val="false"/>
                <w:smallCaps w:val="false"/>
                <w:spacing w:val="-2"/>
                <w:sz w:val="21"/>
              </w:rPr>
              <w:t>RESOLUTION</w:t>
            </w:r>
          </w:p>
        </w:tc>
      </w:tr>
    </w:tbl>
    <w:p>
      <w:pPr>
        <w:pStyle w:val="TextBody"/>
        <w:bidi w:val="0"/>
        <w:spacing w:lineRule="auto" w:line="307" w:before="94" w:after="0"/>
        <w:ind w:left="0" w:right="461" w:hanging="0"/>
        <w:jc w:val="left"/>
        <w:rPr>
          <w:rFonts w:ascii="Arial;Helvetica;sans-serif" w:hAnsi="Arial;Helvetica;sans-serif"/>
          <w:sz w:val="19"/>
        </w:rPr>
      </w:pPr>
      <w:r>
        <w:rPr>
          <w:rFonts w:ascii="Times New Roman;Times;serif" w:hAnsi="Times New Roman;Times;serif"/>
          <w:sz w:val="19"/>
        </w:rPr>
        <w:t>Any</w:t>
      </w:r>
      <w:r>
        <w:rPr>
          <w:rFonts w:ascii="Arial;Helvetica;sans-serif" w:hAnsi="Arial;Helvetica;sans-serif"/>
          <w:spacing w:val="-5"/>
          <w:sz w:val="19"/>
        </w:rPr>
        <w:t xml:space="preserve"> </w:t>
      </w:r>
      <w:r>
        <w:rPr>
          <w:rFonts w:ascii="Times New Roman;Times;serif" w:hAnsi="Times New Roman;Times;serif"/>
          <w:sz w:val="19"/>
        </w:rPr>
        <w:t>dispute,</w:t>
      </w:r>
      <w:r>
        <w:rPr>
          <w:rFonts w:ascii="Arial;Helvetica;sans-serif" w:hAnsi="Arial;Helvetica;sans-serif"/>
          <w:spacing w:val="-3"/>
          <w:sz w:val="19"/>
        </w:rPr>
        <w:t xml:space="preserve"> </w:t>
      </w:r>
      <w:r>
        <w:rPr>
          <w:rFonts w:ascii="Times New Roman;Times;serif" w:hAnsi="Times New Roman;Times;serif"/>
          <w:sz w:val="19"/>
        </w:rPr>
        <w:t>controversy,</w:t>
      </w:r>
      <w:r>
        <w:rPr>
          <w:rFonts w:ascii="Arial;Helvetica;sans-serif" w:hAnsi="Arial;Helvetica;sans-serif"/>
          <w:spacing w:val="-7"/>
          <w:sz w:val="19"/>
        </w:rPr>
        <w:t xml:space="preserve"> </w:t>
      </w:r>
      <w:r>
        <w:rPr>
          <w:rFonts w:ascii="Times New Roman;Times;serif" w:hAnsi="Times New Roman;Times;serif"/>
          <w:sz w:val="19"/>
        </w:rPr>
        <w:t>or</w:t>
      </w:r>
      <w:r>
        <w:rPr>
          <w:rFonts w:ascii="Arial;Helvetica;sans-serif" w:hAnsi="Arial;Helvetica;sans-serif"/>
          <w:spacing w:val="-3"/>
          <w:sz w:val="19"/>
        </w:rPr>
        <w:t xml:space="preserve"> </w:t>
      </w:r>
      <w:r>
        <w:rPr>
          <w:rFonts w:ascii="Times New Roman;Times;serif" w:hAnsi="Times New Roman;Times;serif"/>
          <w:sz w:val="19"/>
        </w:rPr>
        <w:t>claim</w:t>
      </w:r>
      <w:r>
        <w:rPr>
          <w:rFonts w:ascii="Arial;Helvetica;sans-serif" w:hAnsi="Arial;Helvetica;sans-serif"/>
          <w:spacing w:val="-4"/>
          <w:sz w:val="19"/>
        </w:rPr>
        <w:t xml:space="preserve"> </w:t>
      </w:r>
      <w:r>
        <w:rPr>
          <w:rFonts w:ascii="Times New Roman;Times;serif" w:hAnsi="Times New Roman;Times;serif"/>
          <w:sz w:val="19"/>
        </w:rPr>
        <w:t>arising</w:t>
      </w:r>
      <w:r>
        <w:rPr>
          <w:rFonts w:ascii="Arial;Helvetica;sans-serif" w:hAnsi="Arial;Helvetica;sans-serif"/>
          <w:spacing w:val="-5"/>
          <w:sz w:val="19"/>
        </w:rPr>
        <w:t xml:space="preserve"> </w:t>
      </w:r>
      <w:r>
        <w:rPr>
          <w:rFonts w:ascii="Times New Roman;Times;serif" w:hAnsi="Times New Roman;Times;serif"/>
          <w:sz w:val="19"/>
        </w:rPr>
        <w:t>out</w:t>
      </w:r>
      <w:r>
        <w:rPr>
          <w:rFonts w:ascii="Arial;Helvetica;sans-serif" w:hAnsi="Arial;Helvetica;sans-serif"/>
          <w:spacing w:val="-3"/>
          <w:sz w:val="19"/>
        </w:rPr>
        <w:t xml:space="preserve"> </w:t>
      </w:r>
      <w:r>
        <w:rPr>
          <w:rFonts w:ascii="Times New Roman;Times;serif" w:hAnsi="Times New Roman;Times;serif"/>
          <w:sz w:val="19"/>
        </w:rPr>
        <w:t>of</w:t>
      </w:r>
      <w:r>
        <w:rPr>
          <w:rFonts w:ascii="Arial;Helvetica;sans-serif" w:hAnsi="Arial;Helvetica;sans-serif"/>
          <w:spacing w:val="-7"/>
          <w:sz w:val="19"/>
        </w:rPr>
        <w:t xml:space="preserve"> </w:t>
      </w:r>
      <w:r>
        <w:rPr>
          <w:rFonts w:ascii="Times New Roman;Times;serif" w:hAnsi="Times New Roman;Times;serif"/>
          <w:sz w:val="19"/>
        </w:rPr>
        <w:t>or</w:t>
      </w:r>
      <w:r>
        <w:rPr>
          <w:rFonts w:ascii="Arial;Helvetica;sans-serif" w:hAnsi="Arial;Helvetica;sans-serif"/>
          <w:spacing w:val="-8"/>
          <w:sz w:val="19"/>
        </w:rPr>
        <w:t xml:space="preserve"> </w:t>
      </w:r>
      <w:r>
        <w:rPr>
          <w:rFonts w:ascii="Times New Roman;Times;serif" w:hAnsi="Times New Roman;Times;serif"/>
          <w:sz w:val="19"/>
        </w:rPr>
        <w:t>relating</w:t>
      </w:r>
      <w:r>
        <w:rPr>
          <w:rFonts w:ascii="Arial;Helvetica;sans-serif" w:hAnsi="Arial;Helvetica;sans-serif"/>
          <w:spacing w:val="-5"/>
          <w:sz w:val="19"/>
        </w:rPr>
        <w:t xml:space="preserve"> </w:t>
      </w:r>
      <w:r>
        <w:rPr>
          <w:rFonts w:ascii="Times New Roman;Times;serif" w:hAnsi="Times New Roman;Times;serif"/>
          <w:sz w:val="19"/>
        </w:rPr>
        <w:t>to</w:t>
      </w:r>
      <w:r>
        <w:rPr>
          <w:rFonts w:ascii="Arial;Helvetica;sans-serif" w:hAnsi="Arial;Helvetica;sans-serif"/>
          <w:spacing w:val="-5"/>
          <w:sz w:val="19"/>
        </w:rPr>
        <w:t xml:space="preserve"> </w:t>
      </w:r>
      <w:r>
        <w:rPr>
          <w:rFonts w:ascii="Times New Roman;Times;serif" w:hAnsi="Times New Roman;Times;serif"/>
          <w:sz w:val="19"/>
        </w:rPr>
        <w:t>this</w:t>
      </w:r>
      <w:r>
        <w:rPr>
          <w:rFonts w:ascii="Arial;Helvetica;sans-serif" w:hAnsi="Arial;Helvetica;sans-serif"/>
          <w:spacing w:val="-5"/>
          <w:sz w:val="19"/>
        </w:rPr>
        <w:t xml:space="preserve"> </w:t>
      </w:r>
      <w:r>
        <w:rPr>
          <w:rFonts w:ascii="Times New Roman;Times;serif" w:hAnsi="Times New Roman;Times;serif"/>
          <w:sz w:val="19"/>
        </w:rPr>
        <w:t>Contract,</w:t>
      </w:r>
      <w:r>
        <w:rPr>
          <w:rFonts w:ascii="Arial;Helvetica;sans-serif" w:hAnsi="Arial;Helvetica;sans-serif"/>
          <w:spacing w:val="-7"/>
          <w:sz w:val="19"/>
        </w:rPr>
        <w:t xml:space="preserve"> </w:t>
      </w:r>
      <w:r>
        <w:rPr>
          <w:rFonts w:ascii="Times New Roman;Times;serif" w:hAnsi="Times New Roman;Times;serif"/>
          <w:sz w:val="19"/>
        </w:rPr>
        <w:t>including</w:t>
      </w:r>
      <w:r>
        <w:rPr>
          <w:rFonts w:ascii="Arial;Helvetica;sans-serif" w:hAnsi="Arial;Helvetica;sans-serif"/>
          <w:spacing w:val="-6"/>
          <w:sz w:val="19"/>
        </w:rPr>
        <w:t xml:space="preserve"> </w:t>
      </w:r>
      <w:r>
        <w:rPr>
          <w:rFonts w:ascii="Times New Roman;Times;serif" w:hAnsi="Times New Roman;Times;serif"/>
          <w:sz w:val="19"/>
        </w:rPr>
        <w:t>its</w:t>
      </w:r>
      <w:r>
        <w:rPr>
          <w:rFonts w:ascii="Arial;Helvetica;sans-serif" w:hAnsi="Arial;Helvetica;sans-serif"/>
          <w:spacing w:val="-5"/>
          <w:sz w:val="19"/>
        </w:rPr>
        <w:t xml:space="preserve"> </w:t>
      </w:r>
      <w:r>
        <w:rPr>
          <w:rFonts w:ascii="Times New Roman;Times;serif" w:hAnsi="Times New Roman;Times;serif"/>
          <w:sz w:val="19"/>
        </w:rPr>
        <w:t>existence,</w:t>
      </w:r>
      <w:r>
        <w:rPr>
          <w:rFonts w:ascii="Arial;Helvetica;sans-serif" w:hAnsi="Arial;Helvetica;sans-serif"/>
          <w:spacing w:val="-3"/>
          <w:sz w:val="19"/>
        </w:rPr>
        <w:t xml:space="preserve"> </w:t>
      </w:r>
      <w:r>
        <w:rPr>
          <w:rFonts w:ascii="Times New Roman;Times;serif" w:hAnsi="Times New Roman;Times;serif"/>
          <w:sz w:val="19"/>
        </w:rPr>
        <w:t>validity,</w:t>
      </w:r>
      <w:r>
        <w:rPr>
          <w:rFonts w:ascii="Arial;Helvetica;sans-serif" w:hAnsi="Arial;Helvetica;sans-serif"/>
          <w:spacing w:val="-3"/>
          <w:sz w:val="19"/>
        </w:rPr>
        <w:t xml:space="preserve"> </w:t>
      </w:r>
      <w:r>
        <w:rPr>
          <w:rFonts w:ascii="Times New Roman;Times;serif" w:hAnsi="Times New Roman;Times;serif"/>
          <w:sz w:val="19"/>
        </w:rPr>
        <w:t>interpretation, performance, breach, or termination, shall first be addressed through good-faith negotiations between the Parties. If the dispute cannot be resolved, each Party irrevocably submits to the exclusive jurisdiction of the state and federal courts located in Orange County, California, and waives any objection based on venue or forum non conveniens.</w:t>
      </w:r>
    </w:p>
    <w:tbl>
      <w:tblPr>
        <w:tblW w:w="4567" w:type="dxa"/>
        <w:jc w:val="left"/>
        <w:tblInd w:w="0" w:type="dxa"/>
        <w:tblLayout w:type="fixed"/>
        <w:tblCellMar>
          <w:top w:w="0" w:type="dxa"/>
          <w:left w:w="0" w:type="dxa"/>
          <w:bottom w:w="0" w:type="dxa"/>
          <w:right w:w="0" w:type="dxa"/>
        </w:tblCellMar>
      </w:tblPr>
      <w:tblGrid>
        <w:gridCol w:w="290"/>
        <w:gridCol w:w="4277"/>
      </w:tblGrid>
      <w:tr>
        <w:trPr/>
        <w:tc>
          <w:tcPr>
            <w:tcW w:w="290" w:type="dxa"/>
            <w:tcBorders/>
            <w:vAlign w:val="center"/>
          </w:tcPr>
          <w:p>
            <w:pPr>
              <w:pStyle w:val="TableContents"/>
              <w:bidi w:val="0"/>
              <w:spacing w:before="0" w:after="283"/>
              <w:jc w:val="left"/>
              <w:rPr>
                <w:rFonts w:ascii="Times New Roman;Times;serif" w:hAnsi="Times New Roman;Times;serif"/>
                <w:b/>
                <w:sz w:val="21"/>
              </w:rPr>
            </w:pPr>
            <w:r>
              <w:rPr>
                <w:rFonts w:ascii="Times New Roman;Times;serif" w:hAnsi="Times New Roman;Times;serif"/>
                <w:b/>
                <w:sz w:val="21"/>
              </w:rPr>
              <w:t>13.</w:t>
            </w:r>
          </w:p>
        </w:tc>
        <w:tc>
          <w:tcPr>
            <w:tcW w:w="4277"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1"/>
              </w:rPr>
              <w:t>ENTIRE</w:t>
            </w:r>
            <w:r>
              <w:rPr>
                <w:caps w:val="false"/>
                <w:smallCaps w:val="false"/>
                <w:spacing w:val="-12"/>
              </w:rPr>
              <w:t xml:space="preserve"> </w:t>
            </w:r>
            <w:r>
              <w:rPr>
                <w:rFonts w:ascii="Times New Roman;Times;serif" w:hAnsi="Times New Roman;Times;serif"/>
                <w:b/>
                <w:i w:val="false"/>
                <w:caps w:val="false"/>
                <w:smallCaps w:val="false"/>
                <w:sz w:val="21"/>
              </w:rPr>
              <w:t>AGREEMENT</w:t>
            </w:r>
            <w:r>
              <w:rPr>
                <w:caps w:val="false"/>
                <w:smallCaps w:val="false"/>
                <w:spacing w:val="-8"/>
              </w:rPr>
              <w:t xml:space="preserve"> </w:t>
            </w:r>
            <w:r>
              <w:rPr>
                <w:rFonts w:ascii="Times New Roman;Times;serif" w:hAnsi="Times New Roman;Times;serif"/>
                <w:b/>
                <w:i w:val="false"/>
                <w:caps w:val="false"/>
                <w:smallCaps w:val="false"/>
                <w:sz w:val="21"/>
              </w:rPr>
              <w:t>AND</w:t>
            </w:r>
            <w:r>
              <w:rPr>
                <w:caps w:val="false"/>
                <w:smallCaps w:val="false"/>
                <w:spacing w:val="-12"/>
              </w:rPr>
              <w:t xml:space="preserve"> </w:t>
            </w:r>
            <w:r>
              <w:rPr>
                <w:rFonts w:ascii="Times New Roman;Times;serif" w:hAnsi="Times New Roman;Times;serif"/>
                <w:b/>
                <w:i w:val="false"/>
                <w:caps w:val="false"/>
                <w:smallCaps w:val="false"/>
                <w:spacing w:val="-2"/>
                <w:sz w:val="21"/>
              </w:rPr>
              <w:t>AMENDMENTS</w:t>
            </w:r>
          </w:p>
        </w:tc>
      </w:tr>
    </w:tbl>
    <w:p>
      <w:pPr>
        <w:pStyle w:val="TextBody"/>
        <w:bidi w:val="0"/>
        <w:spacing w:lineRule="auto" w:line="307" w:before="94" w:after="0"/>
        <w:ind w:left="0" w:right="461" w:hanging="0"/>
        <w:jc w:val="left"/>
        <w:rPr>
          <w:rFonts w:ascii="Arial;Helvetica;sans-serif" w:hAnsi="Arial;Helvetica;sans-serif"/>
          <w:sz w:val="19"/>
        </w:rPr>
      </w:pPr>
      <w:r>
        <w:rPr>
          <w:rFonts w:ascii="Times New Roman;Times;serif" w:hAnsi="Times New Roman;Times;serif"/>
          <w:sz w:val="19"/>
        </w:rPr>
        <w:t>This</w:t>
      </w:r>
      <w:r>
        <w:rPr>
          <w:rFonts w:ascii="Arial;Helvetica;sans-serif" w:hAnsi="Arial;Helvetica;sans-serif"/>
          <w:spacing w:val="-3"/>
          <w:sz w:val="19"/>
        </w:rPr>
        <w:t xml:space="preserve"> </w:t>
      </w:r>
      <w:r>
        <w:rPr>
          <w:rFonts w:ascii="Times New Roman;Times;serif" w:hAnsi="Times New Roman;Times;serif"/>
          <w:sz w:val="19"/>
        </w:rPr>
        <w:t>Contract,</w:t>
      </w:r>
      <w:r>
        <w:rPr>
          <w:rFonts w:ascii="Arial;Helvetica;sans-serif" w:hAnsi="Arial;Helvetica;sans-serif"/>
          <w:spacing w:val="-2"/>
          <w:sz w:val="19"/>
        </w:rPr>
        <w:t xml:space="preserve"> </w:t>
      </w:r>
      <w:r>
        <w:rPr>
          <w:rFonts w:ascii="Times New Roman;Times;serif" w:hAnsi="Times New Roman;Times;serif"/>
          <w:sz w:val="19"/>
        </w:rPr>
        <w:t>together</w:t>
      </w:r>
      <w:r>
        <w:rPr>
          <w:rFonts w:ascii="Arial;Helvetica;sans-serif" w:hAnsi="Arial;Helvetica;sans-serif"/>
          <w:spacing w:val="-5"/>
          <w:sz w:val="19"/>
        </w:rPr>
        <w:t xml:space="preserve"> </w:t>
      </w:r>
      <w:r>
        <w:rPr>
          <w:rFonts w:ascii="Times New Roman;Times;serif" w:hAnsi="Times New Roman;Times;serif"/>
          <w:sz w:val="19"/>
        </w:rPr>
        <w:t>with</w:t>
      </w:r>
      <w:r>
        <w:rPr>
          <w:rFonts w:ascii="Arial;Helvetica;sans-serif" w:hAnsi="Arial;Helvetica;sans-serif"/>
          <w:spacing w:val="-3"/>
          <w:sz w:val="19"/>
        </w:rPr>
        <w:t xml:space="preserve"> </w:t>
      </w:r>
      <w:r>
        <w:rPr>
          <w:rFonts w:ascii="Times New Roman;Times;serif" w:hAnsi="Times New Roman;Times;serif"/>
          <w:sz w:val="19"/>
        </w:rPr>
        <w:t>any</w:t>
      </w:r>
      <w:r>
        <w:rPr>
          <w:rFonts w:ascii="Arial;Helvetica;sans-serif" w:hAnsi="Arial;Helvetica;sans-serif"/>
          <w:spacing w:val="-3"/>
          <w:sz w:val="19"/>
        </w:rPr>
        <w:t xml:space="preserve"> </w:t>
      </w:r>
      <w:r>
        <w:rPr>
          <w:rFonts w:ascii="Times New Roman;Times;serif" w:hAnsi="Times New Roman;Times;serif"/>
          <w:sz w:val="19"/>
        </w:rPr>
        <w:t>annexes</w:t>
      </w:r>
      <w:r>
        <w:rPr>
          <w:rFonts w:ascii="Arial;Helvetica;sans-serif" w:hAnsi="Arial;Helvetica;sans-serif"/>
          <w:spacing w:val="-3"/>
          <w:sz w:val="19"/>
        </w:rPr>
        <w:t xml:space="preserve"> </w:t>
      </w:r>
      <w:r>
        <w:rPr>
          <w:rFonts w:ascii="Times New Roman;Times;serif" w:hAnsi="Times New Roman;Times;serif"/>
          <w:sz w:val="19"/>
        </w:rPr>
        <w:t>and</w:t>
      </w:r>
      <w:r>
        <w:rPr>
          <w:rFonts w:ascii="Arial;Helvetica;sans-serif" w:hAnsi="Arial;Helvetica;sans-serif"/>
          <w:spacing w:val="-3"/>
          <w:sz w:val="19"/>
        </w:rPr>
        <w:t xml:space="preserve"> </w:t>
      </w:r>
      <w:r>
        <w:rPr>
          <w:rFonts w:ascii="Times New Roman;Times;serif" w:hAnsi="Times New Roman;Times;serif"/>
          <w:sz w:val="19"/>
        </w:rPr>
        <w:t>written</w:t>
      </w:r>
      <w:r>
        <w:rPr>
          <w:rFonts w:ascii="Arial;Helvetica;sans-serif" w:hAnsi="Arial;Helvetica;sans-serif"/>
          <w:spacing w:val="-3"/>
          <w:sz w:val="19"/>
        </w:rPr>
        <w:t xml:space="preserve"> </w:t>
      </w:r>
      <w:r>
        <w:rPr>
          <w:rFonts w:ascii="Times New Roman;Times;serif" w:hAnsi="Times New Roman;Times;serif"/>
          <w:sz w:val="19"/>
        </w:rPr>
        <w:t>documents</w:t>
      </w:r>
      <w:r>
        <w:rPr>
          <w:rFonts w:ascii="Arial;Helvetica;sans-serif" w:hAnsi="Arial;Helvetica;sans-serif"/>
          <w:spacing w:val="-3"/>
          <w:sz w:val="19"/>
        </w:rPr>
        <w:t xml:space="preserve"> </w:t>
      </w:r>
      <w:r>
        <w:rPr>
          <w:rFonts w:ascii="Times New Roman;Times;serif" w:hAnsi="Times New Roman;Times;serif"/>
          <w:sz w:val="19"/>
        </w:rPr>
        <w:t>expressly</w:t>
      </w:r>
      <w:r>
        <w:rPr>
          <w:rFonts w:ascii="Arial;Helvetica;sans-serif" w:hAnsi="Arial;Helvetica;sans-serif"/>
          <w:spacing w:val="-3"/>
          <w:sz w:val="19"/>
        </w:rPr>
        <w:t xml:space="preserve"> </w:t>
      </w:r>
      <w:r>
        <w:rPr>
          <w:rFonts w:ascii="Times New Roman;Times;serif" w:hAnsi="Times New Roman;Times;serif"/>
          <w:sz w:val="19"/>
        </w:rPr>
        <w:t>incorporated</w:t>
      </w:r>
      <w:r>
        <w:rPr>
          <w:rFonts w:ascii="Arial;Helvetica;sans-serif" w:hAnsi="Arial;Helvetica;sans-serif"/>
          <w:spacing w:val="-4"/>
          <w:sz w:val="19"/>
        </w:rPr>
        <w:t xml:space="preserve"> </w:t>
      </w:r>
      <w:r>
        <w:rPr>
          <w:rFonts w:ascii="Times New Roman;Times;serif" w:hAnsi="Times New Roman;Times;serif"/>
          <w:sz w:val="19"/>
        </w:rPr>
        <w:t>herein,</w:t>
      </w:r>
      <w:r>
        <w:rPr>
          <w:rFonts w:ascii="Arial;Helvetica;sans-serif" w:hAnsi="Arial;Helvetica;sans-serif"/>
          <w:spacing w:val="-2"/>
          <w:sz w:val="19"/>
        </w:rPr>
        <w:t xml:space="preserve"> </w:t>
      </w:r>
      <w:r>
        <w:rPr>
          <w:rFonts w:ascii="Times New Roman;Times;serif" w:hAnsi="Times New Roman;Times;serif"/>
          <w:sz w:val="19"/>
        </w:rPr>
        <w:t>constitutes</w:t>
      </w:r>
      <w:r>
        <w:rPr>
          <w:rFonts w:ascii="Arial;Helvetica;sans-serif" w:hAnsi="Arial;Helvetica;sans-serif"/>
          <w:spacing w:val="-6"/>
          <w:sz w:val="19"/>
        </w:rPr>
        <w:t xml:space="preserve"> </w:t>
      </w:r>
      <w:r>
        <w:rPr>
          <w:rFonts w:ascii="Times New Roman;Times;serif" w:hAnsi="Times New Roman;Times;serif"/>
          <w:sz w:val="19"/>
        </w:rPr>
        <w:t>the</w:t>
      </w:r>
      <w:r>
        <w:rPr>
          <w:rFonts w:ascii="Arial;Helvetica;sans-serif" w:hAnsi="Arial;Helvetica;sans-serif"/>
          <w:spacing w:val="-3"/>
          <w:sz w:val="19"/>
        </w:rPr>
        <w:t xml:space="preserve"> </w:t>
      </w:r>
      <w:r>
        <w:rPr>
          <w:rFonts w:ascii="Times New Roman;Times;serif" w:hAnsi="Times New Roman;Times;serif"/>
          <w:sz w:val="19"/>
        </w:rPr>
        <w:t>entire agreement between</w:t>
      </w:r>
      <w:r>
        <w:rPr>
          <w:rFonts w:ascii="Arial;Helvetica;sans-serif" w:hAnsi="Arial;Helvetica;sans-serif"/>
          <w:spacing w:val="-1"/>
          <w:sz w:val="19"/>
        </w:rPr>
        <w:t xml:space="preserve"> </w:t>
      </w:r>
      <w:r>
        <w:rPr>
          <w:rFonts w:ascii="Times New Roman;Times;serif" w:hAnsi="Times New Roman;Times;serif"/>
          <w:sz w:val="19"/>
        </w:rPr>
        <w:t>the Parties concerning</w:t>
      </w:r>
      <w:r>
        <w:rPr>
          <w:rFonts w:ascii="Arial;Helvetica;sans-serif" w:hAnsi="Arial;Helvetica;sans-serif"/>
          <w:spacing w:val="-1"/>
          <w:sz w:val="19"/>
        </w:rPr>
        <w:t xml:space="preserve"> </w:t>
      </w:r>
      <w:r>
        <w:rPr>
          <w:rFonts w:ascii="Times New Roman;Times;serif" w:hAnsi="Times New Roman;Times;serif"/>
          <w:sz w:val="19"/>
        </w:rPr>
        <w:t>this</w:t>
      </w:r>
      <w:r>
        <w:rPr>
          <w:rFonts w:ascii="Arial;Helvetica;sans-serif" w:hAnsi="Arial;Helvetica;sans-serif"/>
          <w:spacing w:val="-2"/>
          <w:sz w:val="19"/>
        </w:rPr>
        <w:t xml:space="preserve"> </w:t>
      </w:r>
      <w:r>
        <w:rPr>
          <w:rFonts w:ascii="Times New Roman;Times;serif" w:hAnsi="Times New Roman;Times;serif"/>
          <w:sz w:val="19"/>
        </w:rPr>
        <w:t>transaction.</w:t>
      </w:r>
      <w:r>
        <w:rPr>
          <w:rFonts w:ascii="Arial;Helvetica;sans-serif" w:hAnsi="Arial;Helvetica;sans-serif"/>
          <w:spacing w:val="-1"/>
          <w:sz w:val="19"/>
        </w:rPr>
        <w:t xml:space="preserve"> </w:t>
      </w:r>
      <w:r>
        <w:rPr>
          <w:rFonts w:ascii="Times New Roman;Times;serif" w:hAnsi="Times New Roman;Times;serif"/>
          <w:sz w:val="19"/>
        </w:rPr>
        <w:t>Any amendment, supplement or</w:t>
      </w:r>
      <w:r>
        <w:rPr>
          <w:rFonts w:ascii="Arial;Helvetica;sans-serif" w:hAnsi="Arial;Helvetica;sans-serif"/>
          <w:spacing w:val="-1"/>
          <w:sz w:val="19"/>
        </w:rPr>
        <w:t xml:space="preserve"> </w:t>
      </w:r>
      <w:r>
        <w:rPr>
          <w:rFonts w:ascii="Times New Roman;Times;serif" w:hAnsi="Times New Roman;Times;serif"/>
          <w:sz w:val="19"/>
        </w:rPr>
        <w:t>waiver shall</w:t>
      </w:r>
      <w:r>
        <w:rPr>
          <w:rFonts w:ascii="Arial;Helvetica;sans-serif" w:hAnsi="Arial;Helvetica;sans-serif"/>
          <w:spacing w:val="-1"/>
          <w:sz w:val="19"/>
        </w:rPr>
        <w:t xml:space="preserve"> </w:t>
      </w:r>
      <w:r>
        <w:rPr>
          <w:rFonts w:ascii="Times New Roman;Times;serif" w:hAnsi="Times New Roman;Times;serif"/>
          <w:sz w:val="19"/>
        </w:rPr>
        <w:t>be made in writing and confirmed by authorized representatives of both Parties.</w:t>
      </w:r>
    </w:p>
    <w:tbl>
      <w:tblPr>
        <w:tblW w:w="3766" w:type="dxa"/>
        <w:jc w:val="left"/>
        <w:tblInd w:w="0" w:type="dxa"/>
        <w:tblLayout w:type="fixed"/>
        <w:tblCellMar>
          <w:top w:w="0" w:type="dxa"/>
          <w:left w:w="0" w:type="dxa"/>
          <w:bottom w:w="0" w:type="dxa"/>
          <w:right w:w="0" w:type="dxa"/>
        </w:tblCellMar>
      </w:tblPr>
      <w:tblGrid>
        <w:gridCol w:w="290"/>
        <w:gridCol w:w="3476"/>
      </w:tblGrid>
      <w:tr>
        <w:trPr/>
        <w:tc>
          <w:tcPr>
            <w:tcW w:w="290" w:type="dxa"/>
            <w:tcBorders/>
            <w:vAlign w:val="center"/>
          </w:tcPr>
          <w:p>
            <w:pPr>
              <w:pStyle w:val="TableContents"/>
              <w:bidi w:val="0"/>
              <w:spacing w:before="0" w:after="283"/>
              <w:jc w:val="left"/>
              <w:rPr>
                <w:rFonts w:ascii="Times New Roman;Times;serif" w:hAnsi="Times New Roman;Times;serif"/>
                <w:b/>
                <w:sz w:val="21"/>
              </w:rPr>
            </w:pPr>
            <w:r>
              <w:rPr>
                <w:rFonts w:ascii="Times New Roman;Times;serif" w:hAnsi="Times New Roman;Times;serif"/>
                <w:b/>
                <w:sz w:val="21"/>
              </w:rPr>
              <w:t>14.</w:t>
            </w:r>
          </w:p>
        </w:tc>
        <w:tc>
          <w:tcPr>
            <w:tcW w:w="3476"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1"/>
              </w:rPr>
              <w:t>LANGUAGE</w:t>
            </w:r>
            <w:r>
              <w:rPr>
                <w:caps w:val="false"/>
                <w:smallCaps w:val="false"/>
                <w:spacing w:val="-11"/>
              </w:rPr>
              <w:t xml:space="preserve"> </w:t>
            </w:r>
            <w:r>
              <w:rPr>
                <w:rFonts w:ascii="Times New Roman;Times;serif" w:hAnsi="Times New Roman;Times;serif"/>
                <w:b/>
                <w:i w:val="false"/>
                <w:caps w:val="false"/>
                <w:smallCaps w:val="false"/>
                <w:sz w:val="21"/>
              </w:rPr>
              <w:t>AND</w:t>
            </w:r>
            <w:r>
              <w:rPr>
                <w:caps w:val="false"/>
                <w:smallCaps w:val="false"/>
                <w:spacing w:val="-10"/>
              </w:rPr>
              <w:t xml:space="preserve"> </w:t>
            </w:r>
            <w:r>
              <w:rPr>
                <w:rFonts w:ascii="Times New Roman;Times;serif" w:hAnsi="Times New Roman;Times;serif"/>
                <w:b/>
                <w:i w:val="false"/>
                <w:caps w:val="false"/>
                <w:smallCaps w:val="false"/>
                <w:spacing w:val="-2"/>
                <w:sz w:val="21"/>
              </w:rPr>
              <w:t>EFFECTIVENESS</w:t>
            </w:r>
          </w:p>
        </w:tc>
      </w:tr>
    </w:tbl>
    <w:p>
      <w:pPr>
        <w:pStyle w:val="TextBody"/>
        <w:bidi w:val="0"/>
        <w:spacing w:lineRule="auto" w:line="307" w:before="94" w:after="0"/>
        <w:ind w:left="0" w:right="461" w:hanging="0"/>
        <w:jc w:val="left"/>
        <w:rPr>
          <w:rFonts w:ascii="Arial;Helvetica;sans-serif" w:hAnsi="Arial;Helvetica;sans-serif"/>
          <w:sz w:val="19"/>
        </w:rPr>
      </w:pPr>
      <w:r>
        <w:rPr>
          <w:rFonts w:ascii="Times New Roman;Times;serif" w:hAnsi="Times New Roman;Times;serif"/>
          <w:sz w:val="19"/>
        </w:rPr>
        <w:t>This</w:t>
      </w:r>
      <w:r>
        <w:rPr>
          <w:rFonts w:ascii="Arial;Helvetica;sans-serif" w:hAnsi="Arial;Helvetica;sans-serif"/>
          <w:spacing w:val="-8"/>
          <w:sz w:val="19"/>
        </w:rPr>
        <w:t xml:space="preserve"> </w:t>
      </w:r>
      <w:r>
        <w:rPr>
          <w:rFonts w:ascii="Times New Roman;Times;serif" w:hAnsi="Times New Roman;Times;serif"/>
          <w:sz w:val="19"/>
        </w:rPr>
        <w:t>Contract</w:t>
      </w:r>
      <w:r>
        <w:rPr>
          <w:rFonts w:ascii="Arial;Helvetica;sans-serif" w:hAnsi="Arial;Helvetica;sans-serif"/>
          <w:spacing w:val="-5"/>
          <w:sz w:val="19"/>
        </w:rPr>
        <w:t xml:space="preserve"> </w:t>
      </w:r>
      <w:r>
        <w:rPr>
          <w:rFonts w:ascii="Times New Roman;Times;serif" w:hAnsi="Times New Roman;Times;serif"/>
          <w:sz w:val="19"/>
        </w:rPr>
        <w:t>is</w:t>
      </w:r>
      <w:r>
        <w:rPr>
          <w:rFonts w:ascii="Arial;Helvetica;sans-serif" w:hAnsi="Arial;Helvetica;sans-serif"/>
          <w:spacing w:val="-7"/>
          <w:sz w:val="19"/>
        </w:rPr>
        <w:t xml:space="preserve"> </w:t>
      </w:r>
      <w:r>
        <w:rPr>
          <w:rFonts w:ascii="Times New Roman;Times;serif" w:hAnsi="Times New Roman;Times;serif"/>
          <w:sz w:val="19"/>
        </w:rPr>
        <w:t>executed</w:t>
      </w:r>
      <w:r>
        <w:rPr>
          <w:rFonts w:ascii="Arial;Helvetica;sans-serif" w:hAnsi="Arial;Helvetica;sans-serif"/>
          <w:spacing w:val="-8"/>
          <w:sz w:val="19"/>
        </w:rPr>
        <w:t xml:space="preserve"> </w:t>
      </w:r>
      <w:r>
        <w:rPr>
          <w:rFonts w:ascii="Times New Roman;Times;serif" w:hAnsi="Times New Roman;Times;serif"/>
          <w:sz w:val="19"/>
        </w:rPr>
        <w:t>in</w:t>
      </w:r>
      <w:r>
        <w:rPr>
          <w:rFonts w:ascii="Arial;Helvetica;sans-serif" w:hAnsi="Arial;Helvetica;sans-serif"/>
          <w:spacing w:val="-8"/>
          <w:sz w:val="19"/>
        </w:rPr>
        <w:t xml:space="preserve"> </w:t>
      </w:r>
      <w:r>
        <w:rPr>
          <w:rFonts w:ascii="Times New Roman;Times;serif" w:hAnsi="Times New Roman;Times;serif"/>
          <w:sz w:val="19"/>
        </w:rPr>
        <w:t>English.</w:t>
      </w:r>
      <w:r>
        <w:rPr>
          <w:rFonts w:ascii="Arial;Helvetica;sans-serif" w:hAnsi="Arial;Helvetica;sans-serif"/>
          <w:spacing w:val="-5"/>
          <w:sz w:val="19"/>
        </w:rPr>
        <w:t xml:space="preserve"> </w:t>
      </w:r>
      <w:r>
        <w:rPr>
          <w:rFonts w:ascii="Times New Roman;Times;serif" w:hAnsi="Times New Roman;Times;serif"/>
          <w:sz w:val="19"/>
        </w:rPr>
        <w:t>Electronic</w:t>
      </w:r>
      <w:r>
        <w:rPr>
          <w:rFonts w:ascii="Arial;Helvetica;sans-serif" w:hAnsi="Arial;Helvetica;sans-serif"/>
          <w:spacing w:val="-7"/>
          <w:sz w:val="19"/>
        </w:rPr>
        <w:t xml:space="preserve"> </w:t>
      </w:r>
      <w:r>
        <w:rPr>
          <w:rFonts w:ascii="Times New Roman;Times;serif" w:hAnsi="Times New Roman;Times;serif"/>
          <w:sz w:val="19"/>
        </w:rPr>
        <w:t>signatures,</w:t>
      </w:r>
      <w:r>
        <w:rPr>
          <w:rFonts w:ascii="Arial;Helvetica;sans-serif" w:hAnsi="Arial;Helvetica;sans-serif"/>
          <w:spacing w:val="-6"/>
          <w:sz w:val="19"/>
        </w:rPr>
        <w:t xml:space="preserve"> </w:t>
      </w:r>
      <w:r>
        <w:rPr>
          <w:rFonts w:ascii="Times New Roman;Times;serif" w:hAnsi="Times New Roman;Times;serif"/>
          <w:sz w:val="19"/>
        </w:rPr>
        <w:t>scanned</w:t>
      </w:r>
      <w:r>
        <w:rPr>
          <w:rFonts w:ascii="Arial;Helvetica;sans-serif" w:hAnsi="Arial;Helvetica;sans-serif"/>
          <w:spacing w:val="-8"/>
          <w:sz w:val="19"/>
        </w:rPr>
        <w:t xml:space="preserve"> </w:t>
      </w:r>
      <w:r>
        <w:rPr>
          <w:rFonts w:ascii="Times New Roman;Times;serif" w:hAnsi="Times New Roman;Times;serif"/>
          <w:sz w:val="19"/>
        </w:rPr>
        <w:t>copies</w:t>
      </w:r>
      <w:r>
        <w:rPr>
          <w:rFonts w:ascii="Arial;Helvetica;sans-serif" w:hAnsi="Arial;Helvetica;sans-serif"/>
          <w:spacing w:val="-8"/>
          <w:sz w:val="19"/>
        </w:rPr>
        <w:t xml:space="preserve"> </w:t>
      </w:r>
      <w:r>
        <w:rPr>
          <w:rFonts w:ascii="Times New Roman;Times;serif" w:hAnsi="Times New Roman;Times;serif"/>
          <w:sz w:val="19"/>
        </w:rPr>
        <w:t>and</w:t>
      </w:r>
      <w:r>
        <w:rPr>
          <w:rFonts w:ascii="Arial;Helvetica;sans-serif" w:hAnsi="Arial;Helvetica;sans-serif"/>
          <w:spacing w:val="-8"/>
          <w:sz w:val="19"/>
        </w:rPr>
        <w:t xml:space="preserve"> </w:t>
      </w:r>
      <w:r>
        <w:rPr>
          <w:rFonts w:ascii="Times New Roman;Times;serif" w:hAnsi="Times New Roman;Times;serif"/>
          <w:sz w:val="19"/>
        </w:rPr>
        <w:t>electronically</w:t>
      </w:r>
      <w:r>
        <w:rPr>
          <w:rFonts w:ascii="Arial;Helvetica;sans-serif" w:hAnsi="Arial;Helvetica;sans-serif"/>
          <w:spacing w:val="-7"/>
          <w:sz w:val="19"/>
        </w:rPr>
        <w:t xml:space="preserve"> </w:t>
      </w:r>
      <w:r>
        <w:rPr>
          <w:rFonts w:ascii="Times New Roman;Times;serif" w:hAnsi="Times New Roman;Times;serif"/>
          <w:sz w:val="19"/>
        </w:rPr>
        <w:t>exchanged</w:t>
      </w:r>
      <w:r>
        <w:rPr>
          <w:rFonts w:ascii="Arial;Helvetica;sans-serif" w:hAnsi="Arial;Helvetica;sans-serif"/>
          <w:spacing w:val="-7"/>
          <w:sz w:val="19"/>
        </w:rPr>
        <w:t xml:space="preserve"> </w:t>
      </w:r>
      <w:r>
        <w:rPr>
          <w:rFonts w:ascii="Times New Roman;Times;serif" w:hAnsi="Times New Roman;Times;serif"/>
          <w:sz w:val="19"/>
        </w:rPr>
        <w:t>signature pages shall have the same effect as originals.</w:t>
      </w:r>
    </w:p>
    <w:tbl>
      <w:tblPr>
        <w:tblW w:w="1642" w:type="dxa"/>
        <w:jc w:val="left"/>
        <w:tblInd w:w="0" w:type="dxa"/>
        <w:tblLayout w:type="fixed"/>
        <w:tblCellMar>
          <w:top w:w="0" w:type="dxa"/>
          <w:left w:w="0" w:type="dxa"/>
          <w:bottom w:w="0" w:type="dxa"/>
          <w:right w:w="0" w:type="dxa"/>
        </w:tblCellMar>
      </w:tblPr>
      <w:tblGrid>
        <w:gridCol w:w="290"/>
        <w:gridCol w:w="1352"/>
      </w:tblGrid>
      <w:tr>
        <w:trPr/>
        <w:tc>
          <w:tcPr>
            <w:tcW w:w="290" w:type="dxa"/>
            <w:tcBorders/>
            <w:vAlign w:val="center"/>
          </w:tcPr>
          <w:p>
            <w:pPr>
              <w:pStyle w:val="TableContents"/>
              <w:bidi w:val="0"/>
              <w:spacing w:before="0" w:after="283"/>
              <w:jc w:val="left"/>
              <w:rPr>
                <w:rFonts w:ascii="Times New Roman;Times;serif" w:hAnsi="Times New Roman;Times;serif"/>
                <w:b/>
                <w:sz w:val="21"/>
              </w:rPr>
            </w:pPr>
            <w:r>
              <w:rPr>
                <w:rFonts w:ascii="Times New Roman;Times;serif" w:hAnsi="Times New Roman;Times;serif"/>
                <w:b/>
                <w:sz w:val="21"/>
              </w:rPr>
              <w:t>15.</w:t>
            </w:r>
          </w:p>
        </w:tc>
        <w:tc>
          <w:tcPr>
            <w:tcW w:w="1352" w:type="dxa"/>
            <w:tcBorders/>
            <w:vAlign w:val="center"/>
          </w:tcPr>
          <w:p>
            <w:pPr>
              <w:pStyle w:val="TableContents"/>
              <w:bidi w:val="0"/>
              <w:spacing w:before="0" w:after="283"/>
              <w:jc w:val="left"/>
              <w:rPr>
                <w:rFonts w:ascii="Times New Roman;Times;serif" w:hAnsi="Times New Roman;Times;serif"/>
                <w:b/>
                <w:i w:val="false"/>
                <w:caps w:val="false"/>
                <w:smallCaps w:val="false"/>
                <w:spacing w:val="-2"/>
                <w:sz w:val="21"/>
              </w:rPr>
            </w:pPr>
            <w:r>
              <w:rPr>
                <w:rFonts w:ascii="Times New Roman;Times;serif" w:hAnsi="Times New Roman;Times;serif"/>
                <w:b/>
                <w:i w:val="false"/>
                <w:caps w:val="false"/>
                <w:smallCaps w:val="false"/>
                <w:spacing w:val="-2"/>
                <w:sz w:val="21"/>
              </w:rPr>
              <w:t>SIGNATURES</w:t>
            </w:r>
          </w:p>
        </w:tc>
      </w:tr>
    </w:tbl>
    <w:p>
      <w:pPr>
        <w:pStyle w:val="TextBody"/>
        <w:bidi w:val="0"/>
        <w:spacing w:lineRule="auto" w:line="307" w:before="94" w:after="0"/>
        <w:ind w:left="0" w:right="461" w:hanging="0"/>
        <w:jc w:val="left"/>
        <w:rPr>
          <w:rFonts w:ascii="Arial;Helvetica;sans-serif" w:hAnsi="Arial;Helvetica;sans-serif"/>
          <w:sz w:val="19"/>
        </w:rPr>
      </w:pPr>
      <w:r>
        <w:rPr>
          <w:rFonts w:ascii="Times New Roman;Times;serif" w:hAnsi="Times New Roman;Times;serif"/>
          <w:sz w:val="19"/>
        </w:rPr>
        <w:t>The</w:t>
      </w:r>
      <w:r>
        <w:rPr>
          <w:rFonts w:ascii="Arial;Helvetica;sans-serif" w:hAnsi="Arial;Helvetica;sans-serif"/>
          <w:spacing w:val="-8"/>
          <w:sz w:val="19"/>
        </w:rPr>
        <w:t xml:space="preserve"> </w:t>
      </w:r>
      <w:r>
        <w:rPr>
          <w:rFonts w:ascii="Times New Roman;Times;serif" w:hAnsi="Times New Roman;Times;serif"/>
          <w:sz w:val="19"/>
        </w:rPr>
        <w:t>authorized</w:t>
      </w:r>
      <w:r>
        <w:rPr>
          <w:rFonts w:ascii="Arial;Helvetica;sans-serif" w:hAnsi="Arial;Helvetica;sans-serif"/>
          <w:spacing w:val="-5"/>
          <w:sz w:val="19"/>
        </w:rPr>
        <w:t xml:space="preserve"> </w:t>
      </w:r>
      <w:r>
        <w:rPr>
          <w:rFonts w:ascii="Times New Roman;Times;serif" w:hAnsi="Times New Roman;Times;serif"/>
          <w:sz w:val="19"/>
        </w:rPr>
        <w:t>representatives</w:t>
      </w:r>
      <w:r>
        <w:rPr>
          <w:rFonts w:ascii="Arial;Helvetica;sans-serif" w:hAnsi="Arial;Helvetica;sans-serif"/>
          <w:spacing w:val="-5"/>
          <w:sz w:val="19"/>
        </w:rPr>
        <w:t xml:space="preserve"> </w:t>
      </w:r>
      <w:r>
        <w:rPr>
          <w:rFonts w:ascii="Times New Roman;Times;serif" w:hAnsi="Times New Roman;Times;serif"/>
          <w:sz w:val="19"/>
        </w:rPr>
        <w:t>of</w:t>
      </w:r>
      <w:r>
        <w:rPr>
          <w:rFonts w:ascii="Arial;Helvetica;sans-serif" w:hAnsi="Arial;Helvetica;sans-serif"/>
          <w:spacing w:val="-8"/>
          <w:sz w:val="19"/>
        </w:rPr>
        <w:t xml:space="preserve"> </w:t>
      </w:r>
      <w:r>
        <w:rPr>
          <w:rFonts w:ascii="Times New Roman;Times;serif" w:hAnsi="Times New Roman;Times;serif"/>
          <w:sz w:val="19"/>
        </w:rPr>
        <w:t>the</w:t>
      </w:r>
      <w:r>
        <w:rPr>
          <w:rFonts w:ascii="Arial;Helvetica;sans-serif" w:hAnsi="Arial;Helvetica;sans-serif"/>
          <w:spacing w:val="-6"/>
          <w:sz w:val="19"/>
        </w:rPr>
        <w:t xml:space="preserve"> </w:t>
      </w:r>
      <w:r>
        <w:rPr>
          <w:rFonts w:ascii="Times New Roman;Times;serif" w:hAnsi="Times New Roman;Times;serif"/>
          <w:sz w:val="19"/>
        </w:rPr>
        <w:t>Parties</w:t>
      </w:r>
      <w:r>
        <w:rPr>
          <w:rFonts w:ascii="Arial;Helvetica;sans-serif" w:hAnsi="Arial;Helvetica;sans-serif"/>
          <w:spacing w:val="-5"/>
          <w:sz w:val="19"/>
        </w:rPr>
        <w:t xml:space="preserve"> </w:t>
      </w:r>
      <w:r>
        <w:rPr>
          <w:rFonts w:ascii="Times New Roman;Times;serif" w:hAnsi="Times New Roman;Times;serif"/>
          <w:sz w:val="19"/>
        </w:rPr>
        <w:t>have</w:t>
      </w:r>
      <w:r>
        <w:rPr>
          <w:rFonts w:ascii="Arial;Helvetica;sans-serif" w:hAnsi="Arial;Helvetica;sans-serif"/>
          <w:spacing w:val="-6"/>
          <w:sz w:val="19"/>
        </w:rPr>
        <w:t xml:space="preserve"> </w:t>
      </w:r>
      <w:r>
        <w:rPr>
          <w:rFonts w:ascii="Times New Roman;Times;serif" w:hAnsi="Times New Roman;Times;serif"/>
          <w:sz w:val="19"/>
        </w:rPr>
        <w:t>executed</w:t>
      </w:r>
      <w:r>
        <w:rPr>
          <w:rFonts w:ascii="Arial;Helvetica;sans-serif" w:hAnsi="Arial;Helvetica;sans-serif"/>
          <w:spacing w:val="-11"/>
          <w:sz w:val="19"/>
        </w:rPr>
        <w:t xml:space="preserve"> </w:t>
      </w:r>
      <w:r>
        <w:rPr>
          <w:rFonts w:ascii="Times New Roman;Times;serif" w:hAnsi="Times New Roman;Times;serif"/>
          <w:sz w:val="19"/>
        </w:rPr>
        <w:t>this</w:t>
      </w:r>
      <w:r>
        <w:rPr>
          <w:rFonts w:ascii="Arial;Helvetica;sans-serif" w:hAnsi="Arial;Helvetica;sans-serif"/>
          <w:spacing w:val="-7"/>
          <w:sz w:val="19"/>
        </w:rPr>
        <w:t xml:space="preserve"> </w:t>
      </w:r>
      <w:r>
        <w:rPr>
          <w:rFonts w:ascii="Times New Roman;Times;serif" w:hAnsi="Times New Roman;Times;serif"/>
          <w:sz w:val="19"/>
        </w:rPr>
        <w:t>Contract</w:t>
      </w:r>
      <w:r>
        <w:rPr>
          <w:rFonts w:ascii="Arial;Helvetica;sans-serif" w:hAnsi="Arial;Helvetica;sans-serif"/>
          <w:spacing w:val="-7"/>
          <w:sz w:val="19"/>
        </w:rPr>
        <w:t xml:space="preserve"> </w:t>
      </w:r>
      <w:r>
        <w:rPr>
          <w:rFonts w:ascii="Times New Roman;Times;serif" w:hAnsi="Times New Roman;Times;serif"/>
          <w:sz w:val="19"/>
        </w:rPr>
        <w:t>as</w:t>
      </w:r>
      <w:r>
        <w:rPr>
          <w:rFonts w:ascii="Arial;Helvetica;sans-serif" w:hAnsi="Arial;Helvetica;sans-serif"/>
          <w:spacing w:val="-6"/>
          <w:sz w:val="19"/>
        </w:rPr>
        <w:t xml:space="preserve"> </w:t>
      </w:r>
      <w:r>
        <w:rPr>
          <w:rFonts w:ascii="Times New Roman;Times;serif" w:hAnsi="Times New Roman;Times;serif"/>
          <w:sz w:val="19"/>
        </w:rPr>
        <w:t>of</w:t>
      </w:r>
      <w:r>
        <w:rPr>
          <w:rFonts w:ascii="Arial;Helvetica;sans-serif" w:hAnsi="Arial;Helvetica;sans-serif"/>
          <w:spacing w:val="-7"/>
          <w:sz w:val="19"/>
        </w:rPr>
        <w:t xml:space="preserve"> </w:t>
      </w:r>
      <w:r>
        <w:rPr>
          <w:rFonts w:ascii="Times New Roman;Times;serif" w:hAnsi="Times New Roman;Times;serif"/>
          <w:sz w:val="19"/>
        </w:rPr>
        <w:t>the</w:t>
      </w:r>
      <w:r>
        <w:rPr>
          <w:rFonts w:ascii="Arial;Helvetica;sans-serif" w:hAnsi="Arial;Helvetica;sans-serif"/>
          <w:spacing w:val="-7"/>
          <w:sz w:val="19"/>
        </w:rPr>
        <w:t xml:space="preserve"> </w:t>
      </w:r>
      <w:r>
        <w:rPr>
          <w:rFonts w:ascii="Times New Roman;Times;serif" w:hAnsi="Times New Roman;Times;serif"/>
          <w:sz w:val="19"/>
        </w:rPr>
        <w:t>date</w:t>
      </w:r>
      <w:r>
        <w:rPr>
          <w:rFonts w:ascii="Arial;Helvetica;sans-serif" w:hAnsi="Arial;Helvetica;sans-serif"/>
          <w:spacing w:val="-11"/>
          <w:sz w:val="19"/>
        </w:rPr>
        <w:t xml:space="preserve"> </w:t>
      </w:r>
      <w:r>
        <w:rPr>
          <w:rFonts w:ascii="Times New Roman;Times;serif" w:hAnsi="Times New Roman;Times;serif"/>
          <w:sz w:val="19"/>
        </w:rPr>
        <w:t>first</w:t>
      </w:r>
      <w:r>
        <w:rPr>
          <w:rFonts w:ascii="Arial;Helvetica;sans-serif" w:hAnsi="Arial;Helvetica;sans-serif"/>
          <w:spacing w:val="-3"/>
          <w:sz w:val="19"/>
        </w:rPr>
        <w:t xml:space="preserve"> </w:t>
      </w:r>
      <w:r>
        <w:rPr>
          <w:rFonts w:ascii="Times New Roman;Times;serif" w:hAnsi="Times New Roman;Times;serif"/>
          <w:sz w:val="19"/>
        </w:rPr>
        <w:t>written</w:t>
      </w:r>
      <w:r>
        <w:rPr>
          <w:rFonts w:ascii="Arial;Helvetica;sans-serif" w:hAnsi="Arial;Helvetica;sans-serif"/>
          <w:spacing w:val="-7"/>
          <w:sz w:val="19"/>
        </w:rPr>
        <w:t xml:space="preserve"> </w:t>
      </w:r>
      <w:r>
        <w:rPr>
          <w:rFonts w:ascii="Times New Roman;Times;serif" w:hAnsi="Times New Roman;Times;serif"/>
          <w:spacing w:val="-2"/>
          <w:sz w:val="19"/>
        </w:rPr>
        <w:t>above.</w:t>
      </w:r>
    </w:p>
    <w:p>
      <w:pPr>
        <w:pStyle w:val="TextBody"/>
        <w:bidi w:val="0"/>
        <w:spacing w:lineRule="auto" w:line="285" w:before="0" w:after="0"/>
        <w:ind w:left="0" w:right="0" w:hanging="0"/>
        <w:jc w:val="left"/>
        <w:rPr/>
      </w:pPr>
      <w:r>
        <w:rPr/>
        <w:t>​</w:t>
      </w:r>
    </w:p>
    <w:tbl>
      <w:tblPr>
        <w:tblW w:w="10205" w:type="dxa"/>
        <w:jc w:val="center"/>
        <w:tblInd w:w="0" w:type="dxa"/>
        <w:tblLayout w:type="fixed"/>
        <w:tblCellMar>
          <w:top w:w="28" w:type="dxa"/>
          <w:left w:w="28" w:type="dxa"/>
          <w:bottom w:w="0" w:type="dxa"/>
          <w:right w:w="0" w:type="dxa"/>
        </w:tblCellMar>
      </w:tblPr>
      <w:tblGrid>
        <w:gridCol w:w="124"/>
        <w:gridCol w:w="3535"/>
        <w:gridCol w:w="34"/>
        <w:gridCol w:w="123"/>
        <w:gridCol w:w="109"/>
        <w:gridCol w:w="99"/>
        <w:gridCol w:w="1777"/>
        <w:gridCol w:w="3093"/>
        <w:gridCol w:w="1311"/>
      </w:tblGrid>
      <w:tr>
        <w:trPr/>
        <w:tc>
          <w:tcPr>
            <w:tcW w:w="124" w:type="dxa"/>
            <w:tcBorders>
              <w:top w:val="single" w:sz="2" w:space="0" w:color="000000"/>
              <w:left w:val="single" w:sz="2" w:space="0" w:color="000000"/>
            </w:tcBorders>
            <w:vAlign w:val="center"/>
          </w:tcPr>
          <w:p>
            <w:pPr>
              <w:pStyle w:val="TableContents"/>
              <w:bidi w:val="0"/>
              <w:spacing w:lineRule="auto" w:line="285" w:before="0" w:after="0"/>
              <w:ind w:left="0" w:right="0" w:hanging="0"/>
              <w:jc w:val="left"/>
              <w:rPr/>
            </w:pPr>
            <w:r>
              <w:rPr/>
              <w:t>​</w:t>
            </w:r>
          </w:p>
        </w:tc>
        <w:tc>
          <w:tcPr>
            <w:tcW w:w="3692" w:type="dxa"/>
            <w:gridSpan w:val="3"/>
            <w:tcBorders>
              <w:top w:val="single" w:sz="2" w:space="0" w:color="000000"/>
              <w:right w:val="single" w:sz="2" w:space="0" w:color="000000"/>
            </w:tcBorders>
            <w:tcMar>
              <w:left w:w="0" w:type="dxa"/>
              <w:right w:w="28" w:type="dxa"/>
            </w:tcMar>
            <w:vAlign w:val="center"/>
          </w:tcPr>
          <w:p>
            <w:pPr>
              <w:pStyle w:val="TableContents"/>
              <w:bidi w:val="0"/>
              <w:spacing w:lineRule="auto" w:line="285" w:before="0" w:after="0"/>
              <w:ind w:left="0" w:right="0" w:hanging="0"/>
              <w:jc w:val="left"/>
              <w:rPr>
                <w:rFonts w:ascii="Times New Roman;Times;serif" w:hAnsi="Times New Roman;Times;serif"/>
                <w:spacing w:val="-2"/>
                <w:sz w:val="19"/>
              </w:rPr>
            </w:pPr>
            <w:r>
              <w:rPr>
                <w:rFonts w:ascii="Times New Roman;Times;serif" w:hAnsi="Times New Roman;Times;serif"/>
                <w:spacing w:val="-2"/>
                <w:sz w:val="19"/>
              </w:rPr>
              <w:t>SELLER</w:t>
            </w:r>
          </w:p>
        </w:tc>
        <w:tc>
          <w:tcPr>
            <w:tcW w:w="208" w:type="dxa"/>
            <w:gridSpan w:val="2"/>
            <w:tcBorders>
              <w:top w:val="single" w:sz="2" w:space="0" w:color="000000"/>
              <w:left w:val="single" w:sz="2" w:space="0" w:color="000000"/>
            </w:tcBorders>
            <w:vAlign w:val="center"/>
          </w:tcPr>
          <w:p>
            <w:pPr>
              <w:pStyle w:val="TableContents"/>
              <w:bidi w:val="0"/>
              <w:spacing w:lineRule="auto" w:line="285" w:before="0" w:after="0"/>
              <w:ind w:left="0" w:right="0" w:hanging="0"/>
              <w:jc w:val="left"/>
              <w:rPr/>
            </w:pPr>
            <w:r>
              <w:rPr/>
              <w:t>​</w:t>
            </w:r>
          </w:p>
        </w:tc>
        <w:tc>
          <w:tcPr>
            <w:tcW w:w="6181" w:type="dxa"/>
            <w:gridSpan w:val="3"/>
            <w:tcBorders>
              <w:top w:val="single" w:sz="2" w:space="0" w:color="000000"/>
              <w:right w:val="single" w:sz="2" w:space="0" w:color="000000"/>
            </w:tcBorders>
            <w:tcMar>
              <w:left w:w="0" w:type="dxa"/>
              <w:right w:w="28" w:type="dxa"/>
            </w:tcMar>
            <w:vAlign w:val="center"/>
          </w:tcPr>
          <w:p>
            <w:pPr>
              <w:pStyle w:val="TableContents"/>
              <w:bidi w:val="0"/>
              <w:spacing w:lineRule="auto" w:line="285" w:before="0" w:after="0"/>
              <w:ind w:left="0" w:right="0" w:hanging="0"/>
              <w:jc w:val="left"/>
              <w:rPr>
                <w:rFonts w:ascii="Times New Roman;Times;serif" w:hAnsi="Times New Roman;Times;serif"/>
                <w:sz w:val="19"/>
              </w:rPr>
            </w:pPr>
            <w:r>
              <w:rPr>
                <w:rFonts w:ascii="Times New Roman;Times;serif" w:hAnsi="Times New Roman;Times;serif"/>
                <w:sz w:val="19"/>
              </w:rPr>
              <w:t>BUYER</w:t>
            </w:r>
          </w:p>
        </w:tc>
      </w:tr>
      <w:tr>
        <w:trPr/>
        <w:tc>
          <w:tcPr>
            <w:tcW w:w="124" w:type="dxa"/>
            <w:tcBorders>
              <w:left w:val="single" w:sz="2" w:space="0" w:color="000000"/>
            </w:tcBorders>
            <w:tcMar>
              <w:top w:w="0" w:type="dxa"/>
            </w:tcMar>
            <w:vAlign w:val="center"/>
          </w:tcPr>
          <w:p>
            <w:pPr>
              <w:pStyle w:val="TableContents"/>
              <w:bidi w:val="0"/>
              <w:spacing w:lineRule="auto" w:line="285" w:before="0" w:after="0"/>
              <w:ind w:left="0" w:right="0" w:hanging="0"/>
              <w:jc w:val="left"/>
              <w:rPr/>
            </w:pPr>
            <w:r>
              <w:rPr/>
              <w:t>​</w:t>
            </w:r>
          </w:p>
        </w:tc>
        <w:tc>
          <w:tcPr>
            <w:tcW w:w="3692" w:type="dxa"/>
            <w:gridSpan w:val="3"/>
            <w:tcBorders>
              <w:right w:val="single" w:sz="2" w:space="0" w:color="000000"/>
            </w:tcBorders>
            <w:tcMar>
              <w:top w:w="0" w:type="dxa"/>
              <w:left w:w="0" w:type="dxa"/>
              <w:right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Times New Roman;Times;serif" w:hAnsi="Times New Roman;Times;serif"/>
                <w:sz w:val="19"/>
              </w:rPr>
              <w:t>Cheetah</w:t>
            </w:r>
            <w:r>
              <w:rPr>
                <w:rFonts w:ascii="Arial;Helvetica;sans-serif" w:hAnsi="Arial;Helvetica;sans-serif"/>
                <w:spacing w:val="-9"/>
                <w:sz w:val="18"/>
              </w:rPr>
              <w:t xml:space="preserve"> </w:t>
            </w:r>
            <w:r>
              <w:rPr>
                <w:rFonts w:ascii="Times New Roman;Times;serif" w:hAnsi="Times New Roman;Times;serif"/>
                <w:sz w:val="19"/>
              </w:rPr>
              <w:t>Net</w:t>
            </w:r>
            <w:r>
              <w:rPr>
                <w:rFonts w:ascii="Arial;Helvetica;sans-serif" w:hAnsi="Arial;Helvetica;sans-serif"/>
                <w:spacing w:val="-10"/>
                <w:sz w:val="18"/>
              </w:rPr>
              <w:t xml:space="preserve"> </w:t>
            </w:r>
            <w:r>
              <w:rPr>
                <w:rFonts w:ascii="Times New Roman;Times;serif" w:hAnsi="Times New Roman;Times;serif"/>
                <w:sz w:val="19"/>
              </w:rPr>
              <w:t>Supply</w:t>
            </w:r>
            <w:r>
              <w:rPr>
                <w:rFonts w:ascii="Arial;Helvetica;sans-serif" w:hAnsi="Arial;Helvetica;sans-serif"/>
                <w:spacing w:val="-9"/>
                <w:sz w:val="18"/>
              </w:rPr>
              <w:t xml:space="preserve"> </w:t>
            </w:r>
            <w:r>
              <w:rPr>
                <w:rFonts w:ascii="Times New Roman;Times;serif" w:hAnsi="Times New Roman;Times;serif"/>
                <w:sz w:val="19"/>
              </w:rPr>
              <w:t>Chain</w:t>
            </w:r>
            <w:r>
              <w:rPr>
                <w:rFonts w:ascii="Arial;Helvetica;sans-serif" w:hAnsi="Arial;Helvetica;sans-serif"/>
                <w:spacing w:val="-7"/>
                <w:sz w:val="18"/>
              </w:rPr>
              <w:t xml:space="preserve"> </w:t>
            </w:r>
            <w:r>
              <w:rPr>
                <w:rFonts w:ascii="Times New Roman;Times;serif" w:hAnsi="Times New Roman;Times;serif"/>
                <w:sz w:val="19"/>
              </w:rPr>
              <w:t>Service</w:t>
            </w:r>
            <w:r>
              <w:rPr>
                <w:rFonts w:ascii="Arial;Helvetica;sans-serif" w:hAnsi="Arial;Helvetica;sans-serif"/>
                <w:spacing w:val="-7"/>
                <w:sz w:val="18"/>
              </w:rPr>
              <w:t xml:space="preserve"> </w:t>
            </w:r>
            <w:r>
              <w:rPr>
                <w:rFonts w:ascii="Times New Roman;Times;serif" w:hAnsi="Times New Roman;Times;serif"/>
                <w:spacing w:val="-4"/>
                <w:sz w:val="19"/>
              </w:rPr>
              <w:t>Inc.</w:t>
            </w:r>
          </w:p>
        </w:tc>
        <w:tc>
          <w:tcPr>
            <w:tcW w:w="208" w:type="dxa"/>
            <w:gridSpan w:val="2"/>
            <w:tcBorders>
              <w:left w:val="single" w:sz="2" w:space="0" w:color="000000"/>
            </w:tcBorders>
            <w:tcMar>
              <w:top w:w="0" w:type="dxa"/>
            </w:tcMar>
            <w:vAlign w:val="center"/>
          </w:tcPr>
          <w:p>
            <w:pPr>
              <w:pStyle w:val="TableContents"/>
              <w:bidi w:val="0"/>
              <w:spacing w:lineRule="auto" w:line="285" w:before="0" w:after="0"/>
              <w:ind w:left="0" w:right="0" w:hanging="0"/>
              <w:jc w:val="left"/>
              <w:rPr/>
            </w:pPr>
            <w:r>
              <w:rPr/>
              <w:t>​</w:t>
            </w:r>
          </w:p>
        </w:tc>
        <w:tc>
          <w:tcPr>
            <w:tcW w:w="6181" w:type="dxa"/>
            <w:gridSpan w:val="3"/>
            <w:tcBorders>
              <w:right w:val="single" w:sz="2" w:space="0" w:color="000000"/>
            </w:tcBorders>
            <w:tcMar>
              <w:top w:w="0" w:type="dxa"/>
              <w:left w:w="0" w:type="dxa"/>
              <w:right w:w="28" w:type="dxa"/>
            </w:tcMar>
            <w:vAlign w:val="center"/>
          </w:tcPr>
          <w:p>
            <w:pPr>
              <w:pStyle w:val="TableContents"/>
              <w:bidi w:val="0"/>
              <w:spacing w:lineRule="auto" w:line="285" w:before="0" w:after="0"/>
              <w:ind w:left="0" w:right="0" w:hanging="0"/>
              <w:jc w:val="left"/>
              <w:rPr>
                <w:rFonts w:ascii="Times New Roman;Times;serif" w:hAnsi="Times New Roman;Times;serif"/>
                <w:sz w:val="19"/>
              </w:rPr>
            </w:pPr>
            <w:r>
              <w:rPr>
                <w:rFonts w:ascii="Times New Roman;Times;serif" w:hAnsi="Times New Roman;Times;serif"/>
                <w:sz w:val="19"/>
              </w:rPr>
              <w:t>HOLYWUD (HK) TECHNOLOGY CO., LIMITED</w:t>
            </w:r>
          </w:p>
        </w:tc>
      </w:tr>
      <w:tr>
        <w:trPr/>
        <w:tc>
          <w:tcPr>
            <w:tcW w:w="124" w:type="dxa"/>
            <w:tcBorders>
              <w:left w:val="single" w:sz="2" w:space="0" w:color="000000"/>
            </w:tcBorders>
            <w:tcMar>
              <w:top w:w="0" w:type="dxa"/>
            </w:tcMar>
            <w:vAlign w:val="center"/>
          </w:tcPr>
          <w:p>
            <w:pPr>
              <w:pStyle w:val="TableContents"/>
              <w:bidi w:val="0"/>
              <w:spacing w:lineRule="auto" w:line="285" w:before="0" w:after="0"/>
              <w:ind w:left="0" w:right="0" w:hanging="0"/>
              <w:jc w:val="left"/>
              <w:rPr/>
            </w:pPr>
            <w:r>
              <w:rPr/>
              <w:t>​</w:t>
            </w:r>
          </w:p>
        </w:tc>
        <w:tc>
          <w:tcPr>
            <w:tcW w:w="3692" w:type="dxa"/>
            <w:gridSpan w:val="3"/>
            <w:tcBorders>
              <w:right w:val="single" w:sz="2" w:space="0" w:color="000000"/>
            </w:tcBorders>
            <w:tcMar>
              <w:top w:w="0" w:type="dxa"/>
              <w:left w:w="0" w:type="dxa"/>
              <w:right w:w="28" w:type="dxa"/>
            </w:tcMar>
            <w:vAlign w:val="center"/>
          </w:tcPr>
          <w:p>
            <w:pPr>
              <w:pStyle w:val="TableContents"/>
              <w:bidi w:val="0"/>
              <w:spacing w:lineRule="auto" w:line="285" w:before="0" w:after="0"/>
              <w:ind w:left="0" w:right="0" w:hanging="0"/>
              <w:jc w:val="left"/>
              <w:rPr/>
            </w:pPr>
            <w:r>
              <w:rPr/>
              <w:t>​</w:t>
            </w:r>
          </w:p>
        </w:tc>
        <w:tc>
          <w:tcPr>
            <w:tcW w:w="208" w:type="dxa"/>
            <w:gridSpan w:val="2"/>
            <w:tcBorders>
              <w:left w:val="single" w:sz="2" w:space="0" w:color="000000"/>
            </w:tcBorders>
            <w:tcMar>
              <w:top w:w="0" w:type="dxa"/>
            </w:tcMar>
            <w:vAlign w:val="center"/>
          </w:tcPr>
          <w:p>
            <w:pPr>
              <w:pStyle w:val="TableContents"/>
              <w:bidi w:val="0"/>
              <w:spacing w:lineRule="auto" w:line="285" w:before="0" w:after="0"/>
              <w:ind w:left="0" w:right="0" w:hanging="0"/>
              <w:jc w:val="left"/>
              <w:rPr/>
            </w:pPr>
            <w:r>
              <w:rPr/>
              <w:t>​</w:t>
            </w:r>
          </w:p>
        </w:tc>
        <w:tc>
          <w:tcPr>
            <w:tcW w:w="6181" w:type="dxa"/>
            <w:gridSpan w:val="3"/>
            <w:tcBorders>
              <w:right w:val="single" w:sz="2" w:space="0" w:color="000000"/>
            </w:tcBorders>
            <w:tcMar>
              <w:top w:w="0" w:type="dxa"/>
              <w:left w:w="0" w:type="dxa"/>
              <w:right w:w="28" w:type="dxa"/>
            </w:tcMar>
            <w:vAlign w:val="center"/>
          </w:tcPr>
          <w:p>
            <w:pPr>
              <w:pStyle w:val="TableContents"/>
              <w:bidi w:val="0"/>
              <w:spacing w:lineRule="auto" w:line="285" w:before="0" w:after="0"/>
              <w:ind w:left="0" w:right="0" w:hanging="0"/>
              <w:jc w:val="left"/>
              <w:rPr/>
            </w:pPr>
            <w:r>
              <w:rPr/>
              <w:t>​</w:t>
            </w:r>
          </w:p>
        </w:tc>
      </w:tr>
      <w:tr>
        <w:trPr/>
        <w:tc>
          <w:tcPr>
            <w:tcW w:w="124" w:type="dxa"/>
            <w:tcBorders>
              <w:left w:val="single" w:sz="2" w:space="0" w:color="000000"/>
            </w:tcBorders>
            <w:tcMar>
              <w:top w:w="0" w:type="dxa"/>
            </w:tcMar>
            <w:vAlign w:val="center"/>
          </w:tcPr>
          <w:p>
            <w:pPr>
              <w:pStyle w:val="TableContents"/>
              <w:bidi w:val="0"/>
              <w:spacing w:lineRule="auto" w:line="285" w:before="0" w:after="0"/>
              <w:ind w:left="0" w:right="0" w:hanging="0"/>
              <w:jc w:val="left"/>
              <w:rPr/>
            </w:pPr>
            <w:r>
              <w:rPr/>
              <w:t>​</w:t>
            </w:r>
          </w:p>
        </w:tc>
        <w:tc>
          <w:tcPr>
            <w:tcW w:w="3569" w:type="dxa"/>
            <w:gridSpan w:val="2"/>
            <w:tcBorders/>
            <w:tcMar>
              <w:top w:w="0" w:type="dxa"/>
              <w:left w:w="0"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Times New Roman;Times;serif" w:hAnsi="Times New Roman;Times;serif"/>
                <w:sz w:val="19"/>
              </w:rPr>
              <w:t>Authorized Representative: /s/ Huan Liu</w:t>
            </w:r>
            <w:r>
              <w:rPr>
                <w:rFonts w:ascii="Arial;Helvetica;sans-serif" w:hAnsi="Arial;Helvetica;sans-serif"/>
                <w:sz w:val="18"/>
                <w:u w:val="single"/>
              </w:rPr>
              <w:t>                                          </w:t>
            </w:r>
          </w:p>
        </w:tc>
        <w:tc>
          <w:tcPr>
            <w:tcW w:w="123" w:type="dxa"/>
            <w:tcBorders>
              <w:right w:val="single" w:sz="2" w:space="0" w:color="000000"/>
            </w:tcBorders>
            <w:tcMar>
              <w:top w:w="0" w:type="dxa"/>
              <w:left w:w="0" w:type="dxa"/>
              <w:right w:w="28" w:type="dxa"/>
            </w:tcMar>
            <w:vAlign w:val="center"/>
          </w:tcPr>
          <w:p>
            <w:pPr>
              <w:pStyle w:val="TableContents"/>
              <w:bidi w:val="0"/>
              <w:spacing w:lineRule="auto" w:line="285" w:before="0" w:after="0"/>
              <w:ind w:left="0" w:right="0" w:hanging="0"/>
              <w:jc w:val="left"/>
              <w:rPr/>
            </w:pPr>
            <w:r>
              <w:rPr/>
              <w:t>​</w:t>
            </w:r>
          </w:p>
        </w:tc>
        <w:tc>
          <w:tcPr>
            <w:tcW w:w="208" w:type="dxa"/>
            <w:gridSpan w:val="2"/>
            <w:tcBorders>
              <w:left w:val="single" w:sz="2" w:space="0" w:color="000000"/>
            </w:tcBorders>
            <w:tcMar>
              <w:top w:w="0" w:type="dxa"/>
            </w:tcMar>
            <w:vAlign w:val="center"/>
          </w:tcPr>
          <w:p>
            <w:pPr>
              <w:pStyle w:val="TableContents"/>
              <w:bidi w:val="0"/>
              <w:spacing w:lineRule="auto" w:line="285" w:before="0" w:after="0"/>
              <w:ind w:left="0" w:right="0" w:hanging="0"/>
              <w:jc w:val="left"/>
              <w:rPr/>
            </w:pPr>
            <w:r>
              <w:rPr/>
              <w:t>​</w:t>
            </w:r>
          </w:p>
        </w:tc>
        <w:tc>
          <w:tcPr>
            <w:tcW w:w="4870" w:type="dxa"/>
            <w:gridSpan w:val="2"/>
            <w:tcBorders/>
            <w:tcMar>
              <w:top w:w="0" w:type="dxa"/>
              <w:left w:w="0"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Times New Roman;Times;serif" w:hAnsi="Times New Roman;Times;serif"/>
                <w:sz w:val="19"/>
              </w:rPr>
              <w:t>Authorized Representative: /s/ Victoria Li</w:t>
            </w:r>
            <w:r>
              <w:rPr>
                <w:rFonts w:ascii="Arial;Helvetica;sans-serif" w:hAnsi="Arial;Helvetica;sans-serif"/>
                <w:sz w:val="18"/>
                <w:u w:val="single"/>
              </w:rPr>
              <w:t>                                              </w:t>
            </w:r>
          </w:p>
        </w:tc>
        <w:tc>
          <w:tcPr>
            <w:tcW w:w="1311" w:type="dxa"/>
            <w:tcBorders>
              <w:right w:val="single" w:sz="2" w:space="0" w:color="000000"/>
            </w:tcBorders>
            <w:tcMar>
              <w:top w:w="0" w:type="dxa"/>
              <w:left w:w="0" w:type="dxa"/>
              <w:right w:w="28" w:type="dxa"/>
            </w:tcMar>
            <w:vAlign w:val="center"/>
          </w:tcPr>
          <w:p>
            <w:pPr>
              <w:pStyle w:val="TableContents"/>
              <w:bidi w:val="0"/>
              <w:spacing w:lineRule="auto" w:line="285" w:before="0" w:after="0"/>
              <w:ind w:left="0" w:right="0" w:hanging="0"/>
              <w:jc w:val="left"/>
              <w:rPr/>
            </w:pPr>
            <w:r>
              <w:rPr/>
              <w:t>​</w:t>
            </w:r>
          </w:p>
        </w:tc>
      </w:tr>
      <w:tr>
        <w:trPr/>
        <w:tc>
          <w:tcPr>
            <w:tcW w:w="124" w:type="dxa"/>
            <w:tcBorders>
              <w:left w:val="single" w:sz="2" w:space="0" w:color="000000"/>
              <w:bottom w:val="single" w:sz="2" w:space="0" w:color="000000"/>
            </w:tcBorders>
            <w:tcMar>
              <w:top w:w="0" w:type="dxa"/>
              <w:bottom w:w="28" w:type="dxa"/>
            </w:tcMar>
            <w:vAlign w:val="center"/>
          </w:tcPr>
          <w:p>
            <w:pPr>
              <w:pStyle w:val="TableContents"/>
              <w:bidi w:val="0"/>
              <w:spacing w:lineRule="auto" w:line="285" w:before="0" w:after="0"/>
              <w:ind w:left="0" w:right="0" w:hanging="0"/>
              <w:jc w:val="left"/>
              <w:rPr/>
            </w:pPr>
            <w:r>
              <w:rPr/>
              <w:t>​</w:t>
            </w:r>
          </w:p>
        </w:tc>
        <w:tc>
          <w:tcPr>
            <w:tcW w:w="3535" w:type="dxa"/>
            <w:tcBorders>
              <w:bottom w:val="single" w:sz="2" w:space="0" w:color="000000"/>
            </w:tcBorders>
            <w:tcMar>
              <w:top w:w="0" w:type="dxa"/>
              <w:left w:w="0" w:type="dxa"/>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Times New Roman;Times;serif" w:hAnsi="Times New Roman;Times;serif"/>
                <w:sz w:val="19"/>
              </w:rPr>
              <w:t>Date: </w:t>
            </w:r>
            <w:r>
              <w:rPr>
                <w:rFonts w:ascii="Arial;Helvetica;sans-serif" w:hAnsi="Arial;Helvetica;sans-serif"/>
                <w:sz w:val="18"/>
                <w:u w:val="single"/>
              </w:rPr>
              <w:t>  </w:t>
            </w:r>
            <w:r>
              <w:rPr>
                <w:rFonts w:ascii="Times New Roman;Times;serif" w:hAnsi="Times New Roman;Times;serif"/>
                <w:sz w:val="19"/>
                <w:u w:val="single"/>
              </w:rPr>
              <w:t>06/18/2026</w:t>
            </w:r>
            <w:r>
              <w:rPr>
                <w:rFonts w:ascii="Arial;Helvetica;sans-serif" w:hAnsi="Arial;Helvetica;sans-serif"/>
                <w:sz w:val="18"/>
              </w:rPr>
              <w:t>                </w:t>
            </w:r>
          </w:p>
        </w:tc>
        <w:tc>
          <w:tcPr>
            <w:tcW w:w="157" w:type="dxa"/>
            <w:gridSpan w:val="2"/>
            <w:tcBorders>
              <w:bottom w:val="single" w:sz="2" w:space="0" w:color="000000"/>
              <w:right w:val="single" w:sz="2" w:space="0" w:color="000000"/>
            </w:tcBorders>
            <w:tcMar>
              <w:top w:w="0" w:type="dxa"/>
              <w:left w:w="0" w:type="dxa"/>
              <w:bottom w:w="28" w:type="dxa"/>
              <w:right w:w="28" w:type="dxa"/>
            </w:tcMar>
            <w:vAlign w:val="center"/>
          </w:tcPr>
          <w:p>
            <w:pPr>
              <w:pStyle w:val="TableContents"/>
              <w:bidi w:val="0"/>
              <w:spacing w:lineRule="auto" w:line="285" w:before="0" w:after="0"/>
              <w:ind w:left="0" w:right="0" w:hanging="0"/>
              <w:jc w:val="left"/>
              <w:rPr/>
            </w:pPr>
            <w:r>
              <w:rPr/>
              <w:t>​</w:t>
            </w:r>
          </w:p>
        </w:tc>
        <w:tc>
          <w:tcPr>
            <w:tcW w:w="109" w:type="dxa"/>
            <w:tcBorders>
              <w:left w:val="single" w:sz="2" w:space="0" w:color="000000"/>
              <w:bottom w:val="single" w:sz="2" w:space="0" w:color="000000"/>
            </w:tcBorders>
            <w:tcMar>
              <w:top w:w="0" w:type="dxa"/>
              <w:bottom w:w="28" w:type="dxa"/>
            </w:tcMar>
            <w:vAlign w:val="center"/>
          </w:tcPr>
          <w:p>
            <w:pPr>
              <w:pStyle w:val="TableContents"/>
              <w:bidi w:val="0"/>
              <w:spacing w:lineRule="auto" w:line="285" w:before="0" w:after="0"/>
              <w:ind w:left="0" w:right="0" w:hanging="0"/>
              <w:jc w:val="left"/>
              <w:rPr/>
            </w:pPr>
            <w:r>
              <w:rPr/>
              <w:t>​</w:t>
            </w:r>
          </w:p>
        </w:tc>
        <w:tc>
          <w:tcPr>
            <w:tcW w:w="1876" w:type="dxa"/>
            <w:gridSpan w:val="2"/>
            <w:tcBorders>
              <w:bottom w:val="single" w:sz="2" w:space="0" w:color="000000"/>
            </w:tcBorders>
            <w:tcMar>
              <w:top w:w="0" w:type="dxa"/>
              <w:left w:w="0" w:type="dxa"/>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Times New Roman;Times;serif" w:hAnsi="Times New Roman;Times;serif"/>
                <w:sz w:val="19"/>
              </w:rPr>
              <w:t>Date: </w:t>
            </w:r>
            <w:r>
              <w:rPr>
                <w:rFonts w:ascii="Arial;Helvetica;sans-serif" w:hAnsi="Arial;Helvetica;sans-serif"/>
                <w:sz w:val="18"/>
                <w:u w:val="single"/>
              </w:rPr>
              <w:t>   </w:t>
            </w:r>
            <w:r>
              <w:rPr>
                <w:rFonts w:ascii="Times New Roman;Times;serif" w:hAnsi="Times New Roman;Times;serif"/>
                <w:i/>
                <w:sz w:val="19"/>
              </w:rPr>
              <w:t>19/06/2026                   </w:t>
            </w:r>
          </w:p>
        </w:tc>
        <w:tc>
          <w:tcPr>
            <w:tcW w:w="3093" w:type="dxa"/>
            <w:tcBorders>
              <w:bottom w:val="single" w:sz="2" w:space="0" w:color="000000"/>
            </w:tcBorders>
            <w:tcMar>
              <w:top w:w="0" w:type="dxa"/>
              <w:left w:w="0" w:type="dxa"/>
              <w:bottom w:w="28" w:type="dxa"/>
            </w:tcMar>
            <w:vAlign w:val="center"/>
          </w:tcPr>
          <w:p>
            <w:pPr>
              <w:pStyle w:val="TableContents"/>
              <w:bidi w:val="0"/>
              <w:spacing w:lineRule="auto" w:line="285" w:before="0" w:after="0"/>
              <w:ind w:left="0" w:right="0" w:hanging="0"/>
              <w:jc w:val="left"/>
              <w:rPr/>
            </w:pPr>
            <w:r>
              <w:rPr/>
              <w:t>​</w:t>
            </w:r>
          </w:p>
        </w:tc>
        <w:tc>
          <w:tcPr>
            <w:tcW w:w="1311" w:type="dxa"/>
            <w:tcBorders>
              <w:bottom w:val="single" w:sz="2" w:space="0" w:color="000000"/>
              <w:right w:val="single" w:sz="2" w:space="0" w:color="000000"/>
            </w:tcBorders>
            <w:tcMar>
              <w:top w:w="0" w:type="dxa"/>
              <w:left w:w="0" w:type="dxa"/>
              <w:bottom w:w="28" w:type="dxa"/>
              <w:right w:w="28" w:type="dxa"/>
            </w:tcM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19"/>
        </w:rPr>
      </w:pPr>
      <w:r>
        <w:rPr>
          <w:rFonts w:ascii="Times New Roman;Times;serif" w:hAnsi="Times New Roman;Times;serif"/>
          <w:sz w:val="19"/>
        </w:rPr>
        <w:t>Page 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455" w:name="ctnt-20260630xex31d1.htm"/>
      <w:bookmarkStart w:id="1456" w:name="ksctnt20260630xex31d1"/>
      <w:bookmarkEnd w:id="1455"/>
      <w:bookmarkEnd w:id="1456"/>
      <w:r>
        <w:rPr>
          <w:rFonts w:ascii="Times New Roman;Times;serif" w:hAnsi="Times New Roman;Times;serif"/>
          <w:b/>
          <w:sz w:val="20"/>
        </w:rPr>
        <w:t>Exhibit 31.1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THE CHIEF EXECUTIVE OFFICER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302 OF THE SARBANES-OXLEY ACT OF 2002</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Huan Liu, certify that: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 I have reviewed this report on Form 10-Q of Cheetah Net Supply Chain Service Inc.;</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ind w:left="0" w:right="0" w:firstLine="72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firstLine="72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August 13, 2026</w:t>
      </w:r>
    </w:p>
    <w:p>
      <w:pPr>
        <w:pStyle w:val="TextBody"/>
        <w:bidi w:val="0"/>
        <w:spacing w:before="0" w:after="0"/>
        <w:ind w:left="0" w:right="0" w:hanging="0"/>
        <w:jc w:val="left"/>
        <w:rPr/>
      </w:pPr>
      <w:r>
        <w:rPr/>
        <w:t>​</w:t>
      </w:r>
    </w:p>
    <w:tbl>
      <w:tblPr>
        <w:tblW w:w="4685" w:type="dxa"/>
        <w:jc w:val="left"/>
        <w:tblInd w:w="0" w:type="dxa"/>
        <w:tblLayout w:type="fixed"/>
        <w:tblCellMar>
          <w:top w:w="0" w:type="dxa"/>
          <w:left w:w="0" w:type="dxa"/>
          <w:bottom w:w="0" w:type="dxa"/>
          <w:right w:w="0" w:type="dxa"/>
        </w:tblCellMar>
      </w:tblPr>
      <w:tblGrid>
        <w:gridCol w:w="4531"/>
        <w:gridCol w:w="154"/>
      </w:tblGrid>
      <w:tr>
        <w:trPr/>
        <w:tc>
          <w:tcPr>
            <w:tcW w:w="4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9">
                      <wp:simplePos x="0" y="0"/>
                      <wp:positionH relativeFrom="character">
                        <wp:align>left</wp:align>
                      </wp:positionH>
                      <wp:positionV relativeFrom="line">
                        <wp:posOffset>635</wp:posOffset>
                      </wp:positionV>
                      <wp:extent cx="2877185" cy="29210"/>
                      <wp:effectExtent l="0" t="0" r="0" b="0"/>
                      <wp:wrapNone/>
                      <wp:docPr id="658" name="Frame649"/>
                      <a:graphic xmlns:a="http://schemas.openxmlformats.org/drawingml/2006/main">
                        <a:graphicData uri="http://schemas.microsoft.com/office/word/2010/wordprocessingShape">
                          <wps:wsp>
                            <wps:cNvSpPr txBox="1"/>
                            <wps:spPr>
                              <a:xfrm>
                                <a:off x="0" y="0"/>
                                <a:ext cx="28771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0">
                      <wp:simplePos x="0" y="0"/>
                      <wp:positionH relativeFrom="character">
                        <wp:align>left</wp:align>
                      </wp:positionH>
                      <wp:positionV relativeFrom="line">
                        <wp:posOffset>635</wp:posOffset>
                      </wp:positionV>
                      <wp:extent cx="97790" cy="29210"/>
                      <wp:effectExtent l="0" t="0" r="0" b="0"/>
                      <wp:wrapNone/>
                      <wp:docPr id="659" name="Frame650"/>
                      <a:graphic xmlns:a="http://schemas.openxmlformats.org/drawingml/2006/main">
                        <a:graphicData uri="http://schemas.microsoft.com/office/word/2010/wordprocessingShape">
                          <wps:wsp>
                            <wps:cNvSpPr txBox="1"/>
                            <wps:spPr>
                              <a:xfrm>
                                <a:off x="0" y="0"/>
                                <a:ext cx="9779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45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w:t>
            </w:r>
            <w:r>
              <w:rPr>
                <w:rFonts w:ascii="Times New Roman;Times;serif" w:hAnsi="Times New Roman;Times;serif"/>
                <w:i/>
                <w:sz w:val="20"/>
              </w:rPr>
              <w:t>Huan Liu</w:t>
            </w:r>
          </w:p>
        </w:tc>
        <w:tc>
          <w:tcPr>
            <w:tcW w:w="154"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45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Huan Liu</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4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Director, and Chairman of the</w:t>
              <w:br/>
              <w:t>Board of Directors</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4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457" w:name="ctnt-20260630xex31d2.htm"/>
      <w:bookmarkStart w:id="1458" w:name="ksctnt20260630xex31d2"/>
      <w:bookmarkEnd w:id="1457"/>
      <w:bookmarkEnd w:id="1458"/>
      <w:r>
        <w:rPr>
          <w:rFonts w:ascii="Times New Roman;Times;serif" w:hAnsi="Times New Roman;Times;serif"/>
          <w:b/>
          <w:sz w:val="20"/>
        </w:rPr>
        <w:t>Exhibit 31.2</w:t>
      </w:r>
      <w:r>
        <w:br w:type="page"/>
      </w:r>
    </w:p>
    <w:p>
      <w:pPr>
        <w:pStyle w:val="TextBody"/>
        <w:bidi w:val="0"/>
        <w:spacing w:lineRule="auto" w:line="331" w:before="0" w:after="160"/>
        <w:ind w:left="0" w:right="0" w:hanging="0"/>
        <w:jc w:val="righ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THE CHIEF FINANCIAL OFFICER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SECTION 302 OF THE SARBANES-OXLEY ACT OF 2002</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I, Huan Liu, certify that:</w:t>
      </w:r>
    </w:p>
    <w:p>
      <w:pPr>
        <w:pStyle w:val="TextBody"/>
        <w:bidi w:val="0"/>
        <w:spacing w:lineRule="auto" w:line="331" w:before="0" w:after="16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1. I have reviewed this report on Form 10-Q of Cheetah Net Supply Chain Service Inc.;</w:t>
      </w:r>
    </w:p>
    <w:p>
      <w:pPr>
        <w:pStyle w:val="TextBody"/>
        <w:bidi w:val="0"/>
        <w:spacing w:lineRule="auto" w:line="331" w:before="0" w:after="16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31" w:before="0" w:after="16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31" w:before="0" w:after="16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31" w:before="0" w:after="16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1" w:before="0" w:after="160"/>
        <w:ind w:left="0" w:right="0" w:firstLine="720"/>
        <w:jc w:val="both"/>
        <w:rPr/>
      </w:pPr>
      <w:r>
        <w:rPr/>
        <w:t>​</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31" w:before="0" w:after="160"/>
        <w:ind w:left="0" w:right="0" w:firstLine="720"/>
        <w:jc w:val="both"/>
        <w:rPr/>
      </w:pPr>
      <w:r>
        <w:rPr/>
        <w:t>​</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1" w:before="0" w:after="160"/>
        <w:ind w:left="0" w:right="0" w:firstLine="720"/>
        <w:jc w:val="both"/>
        <w:rPr/>
      </w:pPr>
      <w:r>
        <w:rPr/>
        <w:t>​</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331" w:before="0" w:after="160"/>
        <w:ind w:left="0" w:right="0" w:firstLine="720"/>
        <w:jc w:val="both"/>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pStyle w:val="TextBody"/>
        <w:bidi w:val="0"/>
        <w:spacing w:lineRule="auto" w:line="331" w:before="0" w:after="16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pStyle w:val="TextBody"/>
        <w:bidi w:val="0"/>
        <w:spacing w:lineRule="auto" w:line="331" w:before="0" w:after="160"/>
        <w:ind w:left="0" w:right="0" w:firstLine="720"/>
        <w:jc w:val="both"/>
        <w:rPr/>
      </w:pPr>
      <w:r>
        <w:rPr/>
        <w:t>​</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lineRule="auto" w:line="331" w:before="0" w:after="160"/>
        <w:ind w:left="0" w:right="0" w:firstLine="720"/>
        <w:jc w:val="both"/>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Date: August 13, 2026</w:t>
      </w:r>
    </w:p>
    <w:p>
      <w:pPr>
        <w:pStyle w:val="TextBody"/>
        <w:bidi w:val="0"/>
        <w:spacing w:lineRule="auto" w:line="331" w:before="0" w:after="160"/>
        <w:ind w:left="0" w:right="0" w:hanging="0"/>
        <w:jc w:val="left"/>
        <w:rPr/>
      </w:pPr>
      <w:r>
        <w:rPr/>
        <w:t>​</w:t>
      </w:r>
    </w:p>
    <w:tbl>
      <w:tblPr>
        <w:tblW w:w="3890" w:type="dxa"/>
        <w:jc w:val="left"/>
        <w:tblInd w:w="0" w:type="dxa"/>
        <w:tblLayout w:type="fixed"/>
        <w:tblCellMar>
          <w:top w:w="0" w:type="dxa"/>
          <w:left w:w="0" w:type="dxa"/>
          <w:bottom w:w="28" w:type="dxa"/>
          <w:right w:w="0" w:type="dxa"/>
        </w:tblCellMar>
      </w:tblPr>
      <w:tblGrid>
        <w:gridCol w:w="3736"/>
        <w:gridCol w:w="154"/>
      </w:tblGrid>
      <w:tr>
        <w:trPr/>
        <w:tc>
          <w:tcPr>
            <w:tcW w:w="3736" w:type="dxa"/>
            <w:tcBorders>
              <w:bottom w:val="single" w:sz="2" w:space="0" w:color="000000"/>
            </w:tcBorders>
            <w:vAlign w:val="center"/>
          </w:tcPr>
          <w:p>
            <w:pPr>
              <w:pStyle w:val="TableContents"/>
              <w:bidi w:val="0"/>
              <w:spacing w:lineRule="auto" w:line="285" w:before="0" w:after="0"/>
              <w:ind w:left="0" w:right="0" w:hanging="0"/>
              <w:jc w:val="left"/>
              <w:rPr>
                <w:rFonts w:ascii="Helvetica;sans-serif" w:hAnsi="Helvetica;sans-serif"/>
                <w:sz w:val="20"/>
              </w:rPr>
            </w:pPr>
            <w:r>
              <w:rPr>
                <w:rFonts w:ascii="Times New Roman;Times;serif" w:hAnsi="Times New Roman;Times;serif"/>
                <w:sz w:val="20"/>
              </w:rPr>
              <w:t>/s/ </w:t>
            </w:r>
            <w:r>
              <w:rPr>
                <w:rFonts w:ascii="Times New Roman;Times;serif" w:hAnsi="Times New Roman;Times;serif"/>
                <w:i/>
                <w:sz w:val="20"/>
              </w:rPr>
              <w:t>Huan Liu</w:t>
            </w:r>
          </w:p>
        </w:tc>
        <w:tc>
          <w:tcPr>
            <w:tcW w:w="154" w:type="dxa"/>
            <w:tcBorders>
              <w:bottom w:val="single" w:sz="2" w:space="0" w:color="000000"/>
            </w:tcBorders>
            <w:vAlign w:val="center"/>
          </w:tcPr>
          <w:p>
            <w:pPr>
              <w:pStyle w:val="TableContents"/>
              <w:bidi w:val="0"/>
              <w:spacing w:before="0" w:after="283"/>
              <w:ind w:left="0" w:right="0" w:hanging="0"/>
              <w:jc w:val="left"/>
              <w:rPr>
                <w:sz w:val="4"/>
                <w:szCs w:val="4"/>
              </w:rPr>
            </w:pPr>
            <w:r>
              <w:rPr>
                <w:sz w:val="4"/>
                <w:szCs w:val="4"/>
              </w:rPr>
            </w:r>
          </w:p>
        </w:tc>
      </w:tr>
      <w:tr>
        <w:trPr/>
        <w:tc>
          <w:tcPr>
            <w:tcW w:w="3736" w:type="dxa"/>
            <w:tcBorders>
              <w:top w:val="single" w:sz="2" w:space="0" w:color="000000"/>
            </w:tcBorders>
            <w:tcMar>
              <w:top w:w="28" w:type="dxa"/>
              <w:bottom w:w="0"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Huan Liu</w:t>
            </w:r>
          </w:p>
        </w:tc>
        <w:tc>
          <w:tcPr>
            <w:tcW w:w="154"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3736" w:type="dxa"/>
            <w:tcBorders/>
            <w:tcMar>
              <w:bottom w:w="0"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Interim Chief Financial Officer</w:t>
            </w:r>
          </w:p>
        </w:tc>
        <w:tc>
          <w:tcPr>
            <w:tcW w:w="154"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3736" w:type="dxa"/>
            <w:tcBorders/>
            <w:tcMar>
              <w:bottom w:w="0"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(Principal Accounting and Financial Officer)</w:t>
            </w:r>
          </w:p>
        </w:tc>
        <w:tc>
          <w:tcPr>
            <w:tcW w:w="154" w:type="dxa"/>
            <w:tcBorders/>
            <w:tcMar>
              <w:bottom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1"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459" w:name="ctnt-20260630xex32d1.htm"/>
      <w:bookmarkStart w:id="1460" w:name="ksctnt20260630xex32d1"/>
      <w:bookmarkEnd w:id="1459"/>
      <w:bookmarkEnd w:id="1460"/>
      <w:r>
        <w:rPr>
          <w:rFonts w:ascii="Times New Roman;Times;serif" w:hAnsi="Times New Roman;Times;serif"/>
          <w:b/>
          <w:sz w:val="20"/>
        </w:rPr>
        <w:t>Exhibit 32.1</w:t>
      </w:r>
      <w:r>
        <w:br w:type="page"/>
      </w:r>
    </w:p>
    <w:p>
      <w:pPr>
        <w:pStyle w:val="TextBody"/>
        <w:bidi w:val="0"/>
        <w:spacing w:lineRule="auto" w:line="331" w:before="0" w:after="160"/>
        <w:ind w:left="0" w:right="0" w:hanging="0"/>
        <w:jc w:val="righ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lineRule="auto" w:line="331" w:before="0" w:after="160"/>
        <w:ind w:left="0" w:right="0" w:hanging="0"/>
        <w:jc w:val="center"/>
        <w:rPr/>
      </w:pPr>
      <w:r>
        <w:rPr/>
        <w:t>​</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The undersigned hereby certifies, in his capacity as an officer of Cheetah Net Supply Chain Service Inc. (the “Company”), for the purposes of 18 U.S.C. Section 1350, as adopted pursuant to Section 906 of the Sarbanes-Oxley Act of 2002, that to the best of his knowledge:</w:t>
      </w:r>
    </w:p>
    <w:p>
      <w:pPr>
        <w:pStyle w:val="TextBody"/>
        <w:bidi w:val="0"/>
        <w:spacing w:lineRule="auto" w:line="331" w:before="0" w:after="160"/>
        <w:ind w:left="0" w:right="0" w:firstLine="720"/>
        <w:jc w:val="both"/>
        <w:rPr/>
      </w:pPr>
      <w:r>
        <w:rPr/>
        <w:t>​</w:t>
      </w:r>
    </w:p>
    <w:p>
      <w:pPr>
        <w:pStyle w:val="TextBody"/>
        <w:bidi w:val="0"/>
        <w:spacing w:lineRule="auto" w:line="285" w:before="0" w:after="0"/>
        <w:ind w:left="0" w:right="0" w:hanging="0"/>
        <w:jc w:val="both"/>
        <w:rPr>
          <w:rFonts w:ascii="Helvetica;sans-serif" w:hAnsi="Helvetica;sans-serif"/>
          <w:sz w:val="20"/>
        </w:rPr>
      </w:pPr>
      <w:r>
        <w:rPr>
          <w:rFonts w:ascii="Times New Roman;Times;serif" w:hAnsi="Times New Roman;Times;serif"/>
          <w:sz w:val="20"/>
        </w:rPr>
        <w:t>(1)  The Quarterly Report of the Company on Form 10-Q for the three and six months ended June</w:t>
      </w:r>
      <w:r>
        <w:rPr>
          <w:rFonts w:ascii="Helvetica;sans-serif" w:hAnsi="Helvetica;sans-serif"/>
          <w:sz w:val="20"/>
        </w:rPr>
        <w:t xml:space="preserve"> </w:t>
      </w:r>
      <w:r>
        <w:rPr>
          <w:rFonts w:ascii="Times New Roman;Times;serif" w:hAnsi="Times New Roman;Times;serif"/>
          <w:sz w:val="20"/>
        </w:rPr>
        <w:t>30, 2026</w:t>
      </w:r>
      <w:r>
        <w:rPr>
          <w:rFonts w:ascii="Helvetica;sans-serif" w:hAnsi="Helvetica;sans-serif"/>
          <w:sz w:val="20"/>
        </w:rPr>
        <w:t xml:space="preserve"> </w:t>
      </w:r>
      <w:r>
        <w:rPr>
          <w:rFonts w:ascii="Times New Roman;Times;serif" w:hAnsi="Times New Roman;Times;serif"/>
          <w:sz w:val="20"/>
        </w:rPr>
        <w:t>(the “Report”) fully complies with the requirements of Section 13(a) or 15(d) of the Securities Exchange Act of 1934; and</w:t>
      </w:r>
    </w:p>
    <w:p>
      <w:pPr>
        <w:pStyle w:val="TextBody"/>
        <w:bidi w:val="0"/>
        <w:spacing w:lineRule="auto" w:line="331" w:before="0" w:after="16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bidi w:val="0"/>
        <w:spacing w:lineRule="auto" w:line="331" w:before="0" w:after="16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Date: August 13, 2026</w:t>
      </w:r>
    </w:p>
    <w:p>
      <w:pPr>
        <w:pStyle w:val="TextBody"/>
        <w:bidi w:val="0"/>
        <w:spacing w:lineRule="auto" w:line="331" w:before="0" w:after="160"/>
        <w:ind w:left="0" w:right="0" w:hanging="0"/>
        <w:jc w:val="both"/>
        <w:rPr/>
      </w:pPr>
      <w:r>
        <w:rPr/>
        <w:t>​</w:t>
      </w:r>
    </w:p>
    <w:tbl>
      <w:tblPr>
        <w:tblW w:w="6215" w:type="dxa"/>
        <w:jc w:val="left"/>
        <w:tblInd w:w="0" w:type="dxa"/>
        <w:tblLayout w:type="fixed"/>
        <w:tblCellMar>
          <w:top w:w="0" w:type="dxa"/>
          <w:left w:w="0" w:type="dxa"/>
          <w:bottom w:w="28" w:type="dxa"/>
          <w:right w:w="0" w:type="dxa"/>
        </w:tblCellMar>
      </w:tblPr>
      <w:tblGrid>
        <w:gridCol w:w="6061"/>
        <w:gridCol w:w="154"/>
      </w:tblGrid>
      <w:tr>
        <w:trPr/>
        <w:tc>
          <w:tcPr>
            <w:tcW w:w="6061" w:type="dxa"/>
            <w:tcBorders>
              <w:bottom w:val="single" w:sz="2" w:space="0" w:color="000000"/>
            </w:tcBorders>
            <w:vAlign w:val="center"/>
          </w:tcPr>
          <w:p>
            <w:pPr>
              <w:pStyle w:val="TableContents"/>
              <w:bidi w:val="0"/>
              <w:spacing w:lineRule="auto" w:line="285" w:before="0" w:after="0"/>
              <w:ind w:left="0" w:right="0" w:hanging="0"/>
              <w:jc w:val="left"/>
              <w:rPr>
                <w:rFonts w:ascii="Helvetica;sans-serif" w:hAnsi="Helvetica;sans-serif"/>
                <w:sz w:val="20"/>
              </w:rPr>
            </w:pPr>
            <w:r>
              <w:rPr>
                <w:rFonts w:ascii="Times New Roman;Times;serif" w:hAnsi="Times New Roman;Times;serif"/>
                <w:sz w:val="20"/>
              </w:rPr>
              <w:t>/s/ </w:t>
            </w:r>
            <w:r>
              <w:rPr>
                <w:rFonts w:ascii="Times New Roman;Times;serif" w:hAnsi="Times New Roman;Times;serif"/>
                <w:i/>
                <w:sz w:val="20"/>
              </w:rPr>
              <w:t>Huan Liu</w:t>
            </w:r>
          </w:p>
        </w:tc>
        <w:tc>
          <w:tcPr>
            <w:tcW w:w="154" w:type="dxa"/>
            <w:tcBorders>
              <w:bottom w:val="single" w:sz="2" w:space="0" w:color="000000"/>
            </w:tcBorders>
            <w:vAlign w:val="center"/>
          </w:tcPr>
          <w:p>
            <w:pPr>
              <w:pStyle w:val="TableContents"/>
              <w:bidi w:val="0"/>
              <w:spacing w:before="0" w:after="283"/>
              <w:ind w:left="0" w:right="0" w:hanging="0"/>
              <w:jc w:val="left"/>
              <w:rPr>
                <w:sz w:val="4"/>
                <w:szCs w:val="4"/>
              </w:rPr>
            </w:pPr>
            <w:r>
              <w:rPr>
                <w:sz w:val="4"/>
                <w:szCs w:val="4"/>
              </w:rPr>
            </w:r>
          </w:p>
        </w:tc>
      </w:tr>
      <w:tr>
        <w:trPr/>
        <w:tc>
          <w:tcPr>
            <w:tcW w:w="6061" w:type="dxa"/>
            <w:tcBorders>
              <w:top w:val="single" w:sz="2" w:space="0" w:color="000000"/>
            </w:tcBorders>
            <w:tcMar>
              <w:top w:w="28" w:type="dxa"/>
              <w:bottom w:w="0"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Huan Liu</w:t>
            </w:r>
          </w:p>
        </w:tc>
        <w:tc>
          <w:tcPr>
            <w:tcW w:w="154"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6061" w:type="dxa"/>
            <w:tcBorders/>
            <w:tcMar>
              <w:bottom w:w="0"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Director, and Chairman of the Board of Directors</w:t>
            </w:r>
          </w:p>
        </w:tc>
        <w:tc>
          <w:tcPr>
            <w:tcW w:w="154"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6061" w:type="dxa"/>
            <w:tcBorders/>
            <w:tcMar>
              <w:bottom w:w="0"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c>
          <w:tcPr>
            <w:tcW w:w="154" w:type="dxa"/>
            <w:tcBorders/>
            <w:tcMar>
              <w:bottom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1" w:before="0" w:after="160"/>
        <w:ind w:left="0" w:right="0" w:hanging="0"/>
        <w:jc w:val="both"/>
        <w:rPr/>
      </w:pPr>
      <w:r>
        <w:rPr/>
        <w:t>​</w:t>
      </w:r>
    </w:p>
    <w:p>
      <w:pPr>
        <w:pStyle w:val="TextBody"/>
        <w:bidi w:val="0"/>
        <w:spacing w:lineRule="auto" w:line="285" w:before="0" w:after="480"/>
        <w:ind w:left="0" w:right="0" w:hanging="0"/>
        <w:jc w:val="both"/>
        <w:rPr>
          <w:rFonts w:ascii="Times New Roman;Times;serif" w:hAnsi="Times New Roman;Times;serif"/>
          <w:sz w:val="20"/>
        </w:rPr>
      </w:pPr>
      <w:r>
        <w:rPr>
          <w:rFonts w:ascii="Times New Roman;Times;serif" w:hAnsi="Times New Roman;Times;serif"/>
          <w:sz w:val="20"/>
        </w:rPr>
        <w:t>The foregoing certification is being furnished solely pursuant to section 906 of the Sarbanes-Oxley Act of 2002 (subsections (a) and (b) of section 1350, chapter 63 of title 18, United States Code) and is not being filed as part of a separate disclosure document.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461" w:name="ctnt-20260630xex32d2.htm"/>
      <w:bookmarkStart w:id="1462" w:name="ksctnt20260630xex32d2"/>
      <w:bookmarkEnd w:id="1461"/>
      <w:bookmarkEnd w:id="1462"/>
      <w:r>
        <w:rPr>
          <w:rFonts w:ascii="Times New Roman;Times;serif" w:hAnsi="Times New Roman;Times;serif"/>
          <w:b/>
          <w:sz w:val="20"/>
        </w:rPr>
        <w:t>Exhibit 32.2</w:t>
      </w:r>
      <w:r>
        <w:br w:type="page"/>
      </w:r>
    </w:p>
    <w:p>
      <w:pPr>
        <w:pStyle w:val="TextBody"/>
        <w:bidi w:val="0"/>
        <w:spacing w:lineRule="auto" w:line="331" w:before="0" w:after="160"/>
        <w:ind w:left="0" w:right="0" w:hanging="0"/>
        <w:jc w:val="righ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lineRule="auto" w:line="331" w:before="0" w:after="160"/>
        <w:ind w:left="0" w:right="0" w:hanging="0"/>
        <w:jc w:val="center"/>
        <w:rPr/>
      </w:pPr>
      <w:r>
        <w:rPr/>
        <w:t>​</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The undersigned hereby certifies, in his capacity as an officer of Cheetah Net Supply Chain Service Inc. (the “Company”), for the purposes of 18 U.S.C. Section 1350, as adopted pursuant to Section 906 of the Sarbanes-Oxley Act of 2002, that to the best of his knowledge:</w:t>
      </w:r>
    </w:p>
    <w:p>
      <w:pPr>
        <w:pStyle w:val="TextBody"/>
        <w:bidi w:val="0"/>
        <w:spacing w:lineRule="auto" w:line="331" w:before="0" w:after="160"/>
        <w:ind w:left="0" w:right="0" w:firstLine="720"/>
        <w:jc w:val="both"/>
        <w:rPr/>
      </w:pPr>
      <w:r>
        <w:rPr/>
        <w:t>​</w:t>
      </w:r>
    </w:p>
    <w:p>
      <w:pPr>
        <w:pStyle w:val="TextBody"/>
        <w:bidi w:val="0"/>
        <w:spacing w:lineRule="auto" w:line="285" w:before="0" w:after="0"/>
        <w:ind w:left="0" w:right="0" w:hanging="0"/>
        <w:jc w:val="both"/>
        <w:rPr>
          <w:rFonts w:ascii="Helvetica;sans-serif" w:hAnsi="Helvetica;sans-serif"/>
          <w:sz w:val="20"/>
        </w:rPr>
      </w:pPr>
      <w:r>
        <w:rPr>
          <w:rFonts w:ascii="Times New Roman;Times;serif" w:hAnsi="Times New Roman;Times;serif"/>
          <w:sz w:val="20"/>
        </w:rPr>
        <w:t>(1)  The Quarterly Report of the Company on Form 10-Q for the three</w:t>
      </w:r>
      <w:r>
        <w:rPr>
          <w:rFonts w:ascii="Helvetica;sans-serif" w:hAnsi="Helvetica;sans-serif"/>
          <w:sz w:val="20"/>
        </w:rPr>
        <w:t xml:space="preserve"> </w:t>
      </w:r>
      <w:r>
        <w:rPr>
          <w:rFonts w:ascii="Times New Roman;Times;serif" w:hAnsi="Times New Roman;Times;serif"/>
          <w:sz w:val="20"/>
        </w:rPr>
        <w:t>and six</w:t>
      </w:r>
      <w:r>
        <w:rPr>
          <w:rFonts w:ascii="Helvetica;sans-serif" w:hAnsi="Helvetica;sans-serif"/>
          <w:sz w:val="20"/>
        </w:rPr>
        <w:t xml:space="preserve"> </w:t>
      </w:r>
      <w:r>
        <w:rPr>
          <w:rFonts w:ascii="Times New Roman;Times;serif" w:hAnsi="Times New Roman;Times;serif"/>
          <w:sz w:val="20"/>
        </w:rPr>
        <w:t>months ended June</w:t>
      </w:r>
      <w:r>
        <w:rPr>
          <w:rFonts w:ascii="Helvetica;sans-serif" w:hAnsi="Helvetica;sans-serif"/>
          <w:sz w:val="20"/>
        </w:rPr>
        <w:t xml:space="preserve"> </w:t>
      </w:r>
      <w:r>
        <w:rPr>
          <w:rFonts w:ascii="Times New Roman;Times;serif" w:hAnsi="Times New Roman;Times;serif"/>
          <w:sz w:val="20"/>
        </w:rPr>
        <w:t>30, 2026</w:t>
      </w:r>
      <w:r>
        <w:rPr>
          <w:rFonts w:ascii="Helvetica;sans-serif" w:hAnsi="Helvetica;sans-serif"/>
          <w:sz w:val="20"/>
        </w:rPr>
        <w:t xml:space="preserve"> </w:t>
      </w:r>
      <w:r>
        <w:rPr>
          <w:rFonts w:ascii="Times New Roman;Times;serif" w:hAnsi="Times New Roman;Times;serif"/>
          <w:sz w:val="20"/>
        </w:rPr>
        <w:t>(the “Report”) fully complies with the requirements of Section 13(a) or 15(d) of the Securities Exchange Act of 1934; and</w:t>
      </w:r>
    </w:p>
    <w:p>
      <w:pPr>
        <w:pStyle w:val="TextBody"/>
        <w:bidi w:val="0"/>
        <w:spacing w:lineRule="auto" w:line="331" w:before="0" w:after="16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bidi w:val="0"/>
        <w:spacing w:lineRule="auto" w:line="331" w:before="0" w:after="16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Date: August 13, 2026</w:t>
      </w:r>
    </w:p>
    <w:p>
      <w:pPr>
        <w:pStyle w:val="TextBody"/>
        <w:bidi w:val="0"/>
        <w:spacing w:lineRule="auto" w:line="331" w:before="0" w:after="160"/>
        <w:ind w:left="0" w:right="0" w:hanging="0"/>
        <w:jc w:val="left"/>
        <w:rPr/>
      </w:pPr>
      <w:r>
        <w:rPr/>
        <w:t>​</w:t>
      </w:r>
    </w:p>
    <w:tbl>
      <w:tblPr>
        <w:tblW w:w="3890" w:type="dxa"/>
        <w:jc w:val="left"/>
        <w:tblInd w:w="0" w:type="dxa"/>
        <w:tblLayout w:type="fixed"/>
        <w:tblCellMar>
          <w:top w:w="0" w:type="dxa"/>
          <w:left w:w="0" w:type="dxa"/>
          <w:bottom w:w="28" w:type="dxa"/>
          <w:right w:w="0" w:type="dxa"/>
        </w:tblCellMar>
      </w:tblPr>
      <w:tblGrid>
        <w:gridCol w:w="3736"/>
        <w:gridCol w:w="154"/>
      </w:tblGrid>
      <w:tr>
        <w:trPr/>
        <w:tc>
          <w:tcPr>
            <w:tcW w:w="3736" w:type="dxa"/>
            <w:tcBorders>
              <w:bottom w:val="single" w:sz="2" w:space="0" w:color="000000"/>
            </w:tcBorders>
            <w:vAlign w:val="center"/>
          </w:tcPr>
          <w:p>
            <w:pPr>
              <w:pStyle w:val="TableContents"/>
              <w:bidi w:val="0"/>
              <w:spacing w:lineRule="auto" w:line="285" w:before="0" w:after="0"/>
              <w:ind w:left="0" w:right="0" w:hanging="0"/>
              <w:jc w:val="left"/>
              <w:rPr>
                <w:rFonts w:ascii="Helvetica;sans-serif" w:hAnsi="Helvetica;sans-serif"/>
                <w:sz w:val="20"/>
              </w:rPr>
            </w:pPr>
            <w:r>
              <w:rPr>
                <w:rFonts w:ascii="Times New Roman;Times;serif" w:hAnsi="Times New Roman;Times;serif"/>
                <w:sz w:val="20"/>
              </w:rPr>
              <w:t>/s/ </w:t>
            </w:r>
            <w:r>
              <w:rPr>
                <w:rFonts w:ascii="Times New Roman;Times;serif" w:hAnsi="Times New Roman;Times;serif"/>
                <w:i/>
                <w:sz w:val="20"/>
              </w:rPr>
              <w:t>Huan Liu</w:t>
            </w:r>
          </w:p>
        </w:tc>
        <w:tc>
          <w:tcPr>
            <w:tcW w:w="154" w:type="dxa"/>
            <w:tcBorders>
              <w:bottom w:val="single" w:sz="2" w:space="0" w:color="000000"/>
            </w:tcBorders>
            <w:vAlign w:val="center"/>
          </w:tcPr>
          <w:p>
            <w:pPr>
              <w:pStyle w:val="TableContents"/>
              <w:bidi w:val="0"/>
              <w:spacing w:before="0" w:after="283"/>
              <w:ind w:left="0" w:right="0" w:hanging="0"/>
              <w:jc w:val="left"/>
              <w:rPr>
                <w:sz w:val="4"/>
                <w:szCs w:val="4"/>
              </w:rPr>
            </w:pPr>
            <w:r>
              <w:rPr>
                <w:sz w:val="4"/>
                <w:szCs w:val="4"/>
              </w:rPr>
            </w:r>
          </w:p>
        </w:tc>
      </w:tr>
      <w:tr>
        <w:trPr/>
        <w:tc>
          <w:tcPr>
            <w:tcW w:w="3736" w:type="dxa"/>
            <w:tcBorders>
              <w:top w:val="single" w:sz="2" w:space="0" w:color="000000"/>
            </w:tcBorders>
            <w:tcMar>
              <w:top w:w="28" w:type="dxa"/>
              <w:bottom w:w="0"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Huan Liu</w:t>
            </w:r>
          </w:p>
        </w:tc>
        <w:tc>
          <w:tcPr>
            <w:tcW w:w="154"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3736" w:type="dxa"/>
            <w:tcBorders/>
            <w:tcMar>
              <w:bottom w:w="0"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Interim Chief Financial Officer</w:t>
            </w:r>
          </w:p>
        </w:tc>
        <w:tc>
          <w:tcPr>
            <w:tcW w:w="154"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3736" w:type="dxa"/>
            <w:tcBorders/>
            <w:tcMar>
              <w:bottom w:w="0"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(Principal Accounting and Financial Officer)</w:t>
            </w:r>
          </w:p>
        </w:tc>
        <w:tc>
          <w:tcPr>
            <w:tcW w:w="154" w:type="dxa"/>
            <w:tcBorders/>
            <w:tcMar>
              <w:bottom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1" w:before="0" w:after="16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The foregoing certification is being furnished solely pursuant to section 906 of the Sarbanes-Oxley Act of 2002 (subsections (a) and (b) of section 1350, chapter 63 of title 18, United States Code) and is not being filed as part of a separate disclosure document.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51667/000110465926009731/tm264985d1_ex2-1.htm" TargetMode="External"/><Relationship Id="rId3" Type="http://schemas.openxmlformats.org/officeDocument/2006/relationships/hyperlink" Target="https://www.sec.gov/Archives/edgar/data/1951667/000110465926009731/tm264985d1_ex3-2.htm" TargetMode="External"/><Relationship Id="rId4" Type="http://schemas.openxmlformats.org/officeDocument/2006/relationships/hyperlink" Target="https://www.sec.gov/Archives/edgar/data/1951667/000110465926048601/tm2612177d1_ex3-1.htm" TargetMode="External"/><Relationship Id="rId5" Type="http://schemas.openxmlformats.org/officeDocument/2006/relationships/hyperlink" Target="https://www.sec.gov/Archives/edgar/data/1951667/000110465926009731/tm264985d1_ex3-1.htm" TargetMode="External"/><Relationship Id="rId6" Type="http://schemas.openxmlformats.org/officeDocument/2006/relationships/hyperlink" Target="https://www.sec.gov/Archives/edgar/data/1951667/000110465926009731/tm264985d1_ex3-3.htm" TargetMode="External"/><Relationship Id="rId7" Type="http://schemas.openxmlformats.org/officeDocument/2006/relationships/hyperlink" Target="https://www.sec.gov/Archives/edgar/data/1951667/000110465926032699/ctnt-20251231xex4d1.htm" TargetMode="External"/><Relationship Id="rId8" Type="http://schemas.openxmlformats.org/officeDocument/2006/relationships/hyperlink" Target="https://www.sec.gov/Archives/edgar/data/1951667/000110465926044124/tm2611630d1_ex10-1.htm" TargetMode="External"/><Relationship Id="rId9" Type="http://schemas.openxmlformats.org/officeDocument/2006/relationships/hyperlink" Target="https://www.sec.gov/Archives/edgar/data/1951667/000110465926060534/ctnt-20260331xex10d11.htm" TargetMode="External"/><Relationship Id="rId10" Type="http://schemas.openxmlformats.org/officeDocument/2006/relationships/hyperlink" Target="https://www.sec.gov/Archives/edgar/data/1951667/000110465926060534/ctnt-20260331xex10d12.htm" TargetMode="External"/><Relationship Id="rId11" Type="http://schemas.openxmlformats.org/officeDocument/2006/relationships/hyperlink" Target="https://www.sec.gov/Archives/edgar/data/1951667/000110465926060534/ctnt-20260331xex10d13.htm" TargetMode="External"/><Relationship Id="rId12" Type="http://schemas.openxmlformats.org/officeDocument/2006/relationships/hyperlink" Target="https://www.sec.gov/Archives/edgar/data/1951667/000110465926070532/tm2616696d1_ex10-1.htm" TargetMode="External"/><Relationship Id="rId13" Type="http://schemas.openxmlformats.org/officeDocument/2006/relationships/hyperlink" Target="https://www.sec.gov/Archives/edgar/data/1951667/000110465926076373/tm2618435d1_ex10-1.htm" TargetMode="External"/><Relationship Id="rId14" Type="http://schemas.openxmlformats.org/officeDocument/2006/relationships/hyperlink" Target="https://www.sec.gov/Archives/edgar/data/1951667/000110465926078843/tm2619318d1_ex10-1.htm" TargetMode="External"/><Relationship Id="rId15" Type="http://schemas.openxmlformats.org/officeDocument/2006/relationships/hyperlink" Target="https://www.sec.gov/Archives/edgar/data/1951667/000110465926034519/tm269716d1_ex10-1.htm" TargetMode="External"/><Relationship Id="rId16" Type="http://schemas.openxmlformats.org/officeDocument/2006/relationships/image" Target="media/image1.jpeg"/><Relationship Id="rId17" Type="http://schemas.openxmlformats.org/officeDocument/2006/relationships/image" Target="media/image2.jpeg"/><Relationship Id="rId18" Type="http://schemas.openxmlformats.org/officeDocument/2006/relationships/image" Target="media/image3.jpeg"/><Relationship Id="rId19" Type="http://schemas.openxmlformats.org/officeDocument/2006/relationships/image" Target="media/image4.jpeg"/><Relationship Id="rId20" Type="http://schemas.openxmlformats.org/officeDocument/2006/relationships/image" Target="media/image5.jpeg"/><Relationship Id="rId21" Type="http://schemas.openxmlformats.org/officeDocument/2006/relationships/image" Target="media/image6.jpeg"/><Relationship Id="rId22" Type="http://schemas.openxmlformats.org/officeDocument/2006/relationships/image" Target="media/image7.jpeg"/><Relationship Id="rId23" Type="http://schemas.openxmlformats.org/officeDocument/2006/relationships/image" Target="media/image8.jpeg"/><Relationship Id="rId24" Type="http://schemas.openxmlformats.org/officeDocument/2006/relationships/image" Target="media/image9.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54599</Words>
  <Characters>280985</Characters>
  <CharactersWithSpaces>334648</CharactersWithSpaces>
  <Paragraphs>10247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